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3FBA0">
      <w:pPr>
        <w:spacing w:line="360" w:lineRule="auto"/>
        <w:rPr>
          <w:rFonts w:hint="default" w:ascii="宋体" w:hAnsi="宋体" w:eastAsia="宋体" w:cs="宋体"/>
          <w:kern w:val="0"/>
          <w:sz w:val="24"/>
          <w:szCs w:val="24"/>
          <w:lang w:val="en-US" w:eastAsia="zh-CN"/>
        </w:rPr>
      </w:pPr>
      <w:r>
        <w:rPr>
          <w:rFonts w:hint="eastAsia" w:ascii="宋体" w:hAnsi="宋体" w:eastAsia="宋体" w:cs="宋体"/>
          <w:kern w:val="0"/>
          <w:sz w:val="24"/>
          <w:szCs w:val="24"/>
        </w:rPr>
        <w:t>证券代码：300436  </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 xml:space="preserve">     </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证券简称：广生堂  </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 xml:space="preserve">   </w:t>
      </w:r>
      <w:bookmarkStart w:id="0" w:name="_GoBack"/>
      <w:bookmarkEnd w:id="0"/>
      <w:r>
        <w:rPr>
          <w:rFonts w:hint="eastAsia" w:ascii="宋体" w:hAnsi="宋体" w:eastAsia="宋体" w:cs="宋体"/>
          <w:kern w:val="0"/>
          <w:sz w:val="24"/>
          <w:szCs w:val="24"/>
        </w:rPr>
        <w:t> 公告编号：2025</w:t>
      </w:r>
      <w:r>
        <w:rPr>
          <w:rFonts w:hint="eastAsia" w:ascii="宋体" w:hAnsi="宋体" w:cs="宋体"/>
          <w:kern w:val="0"/>
          <w:sz w:val="24"/>
          <w:szCs w:val="24"/>
          <w:lang w:val="en-US" w:eastAsia="zh-CN"/>
        </w:rPr>
        <w:t>021</w:t>
      </w:r>
    </w:p>
    <w:p w14:paraId="23A8F1F5">
      <w:pPr>
        <w:spacing w:before="156" w:beforeLines="50"/>
        <w:jc w:val="center"/>
        <w:rPr>
          <w:rFonts w:hint="eastAsia" w:ascii="宋体" w:hAnsi="宋体" w:eastAsia="宋体" w:cs="宋体"/>
          <w:b/>
          <w:kern w:val="0"/>
          <w:sz w:val="32"/>
          <w:szCs w:val="32"/>
        </w:rPr>
      </w:pPr>
      <w:r>
        <w:rPr>
          <w:rFonts w:hint="eastAsia" w:ascii="宋体" w:hAnsi="宋体" w:eastAsia="宋体" w:cs="宋体"/>
          <w:b/>
          <w:kern w:val="0"/>
          <w:sz w:val="32"/>
          <w:szCs w:val="32"/>
        </w:rPr>
        <w:t>福建广生堂药业股份有限公司</w:t>
      </w:r>
    </w:p>
    <w:p w14:paraId="5D9156A0">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宋体" w:hAnsi="宋体" w:eastAsia="宋体" w:cs="宋体"/>
          <w:b/>
          <w:sz w:val="32"/>
          <w:szCs w:val="32"/>
          <w:lang w:eastAsia="zh-CN"/>
        </w:rPr>
      </w:pPr>
      <w:r>
        <w:rPr>
          <w:rFonts w:hint="eastAsia" w:ascii="宋体" w:hAnsi="宋体" w:cs="宋体"/>
          <w:b/>
          <w:sz w:val="32"/>
          <w:szCs w:val="32"/>
          <w:lang w:eastAsia="zh-CN"/>
        </w:rPr>
        <w:t>关于证券事务代表辞职的公告</w:t>
      </w:r>
    </w:p>
    <w:tbl>
      <w:tblPr>
        <w:tblStyle w:val="9"/>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0735C3E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5F422296">
            <w:pPr>
              <w:widowControl/>
              <w:ind w:firstLine="600" w:firstLineChars="200"/>
              <w:rPr>
                <w:rFonts w:hint="eastAsia" w:ascii="宋体" w:hAnsi="宋体" w:eastAsia="宋体" w:cs="宋体"/>
                <w:b/>
                <w:sz w:val="30"/>
                <w:szCs w:val="30"/>
              </w:rPr>
            </w:pPr>
            <w:r>
              <w:rPr>
                <w:rFonts w:hint="eastAsia" w:ascii="宋体" w:hAnsi="宋体" w:eastAsia="宋体" w:cs="宋体"/>
                <w:kern w:val="0"/>
                <w:sz w:val="30"/>
                <w:szCs w:val="30"/>
              </w:rPr>
              <w:t>本公司及董事会全体成员保证信息披露的内容真实、准确、完整，没有虚假记载、误导性陈述或重大遗漏。</w:t>
            </w:r>
          </w:p>
        </w:tc>
      </w:tr>
    </w:tbl>
    <w:p w14:paraId="30343022">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福建广生堂药业股份有限公司（以下简称“公司”）近日收到公司证券事务代表</w:t>
      </w:r>
      <w:r>
        <w:rPr>
          <w:rFonts w:hint="eastAsia" w:ascii="宋体" w:hAnsi="宋体" w:cs="宋体"/>
          <w:color w:val="000000"/>
          <w:kern w:val="0"/>
          <w:sz w:val="24"/>
          <w:szCs w:val="24"/>
          <w:highlight w:val="none"/>
          <w:lang w:val="en-US" w:eastAsia="zh-CN"/>
        </w:rPr>
        <w:t>吴世俊先生</w:t>
      </w:r>
      <w:r>
        <w:rPr>
          <w:rFonts w:hint="eastAsia" w:ascii="宋体" w:hAnsi="宋体" w:eastAsia="宋体" w:cs="宋体"/>
          <w:color w:val="000000"/>
          <w:kern w:val="0"/>
          <w:sz w:val="24"/>
          <w:szCs w:val="24"/>
          <w:highlight w:val="none"/>
        </w:rPr>
        <w:t>提交的书面辞职报告。</w:t>
      </w:r>
      <w:r>
        <w:rPr>
          <w:rFonts w:hint="eastAsia" w:ascii="宋体" w:hAnsi="宋体" w:cs="宋体"/>
          <w:color w:val="000000"/>
          <w:kern w:val="0"/>
          <w:sz w:val="24"/>
          <w:szCs w:val="24"/>
          <w:highlight w:val="none"/>
          <w:lang w:val="en-US" w:eastAsia="zh-CN"/>
        </w:rPr>
        <w:t>吴世俊先生</w:t>
      </w:r>
      <w:r>
        <w:rPr>
          <w:rFonts w:hint="eastAsia" w:ascii="宋体" w:hAnsi="宋体" w:eastAsia="宋体" w:cs="宋体"/>
          <w:color w:val="000000"/>
          <w:kern w:val="0"/>
          <w:sz w:val="24"/>
          <w:szCs w:val="24"/>
          <w:highlight w:val="none"/>
        </w:rPr>
        <w:t>因个人原因，向董事会申请辞去公司证券事务代表职务。辞去上述职务后，</w:t>
      </w:r>
      <w:r>
        <w:rPr>
          <w:rFonts w:hint="eastAsia" w:ascii="宋体" w:hAnsi="宋体" w:cs="宋体"/>
          <w:color w:val="000000"/>
          <w:kern w:val="0"/>
          <w:sz w:val="24"/>
          <w:szCs w:val="24"/>
          <w:highlight w:val="none"/>
          <w:lang w:val="en-US" w:eastAsia="zh-CN"/>
        </w:rPr>
        <w:t>吴世俊先生</w:t>
      </w:r>
      <w:r>
        <w:rPr>
          <w:rFonts w:hint="eastAsia" w:ascii="宋体" w:hAnsi="宋体" w:eastAsia="宋体" w:cs="宋体"/>
          <w:color w:val="000000"/>
          <w:kern w:val="0"/>
          <w:sz w:val="24"/>
          <w:szCs w:val="24"/>
          <w:highlight w:val="none"/>
        </w:rPr>
        <w:t>将不再担任公司任何职务，辞职报告自送达董事会之日起生效。</w:t>
      </w:r>
    </w:p>
    <w:p w14:paraId="792EF5E6">
      <w:pPr>
        <w:spacing w:line="360" w:lineRule="auto"/>
        <w:ind w:firstLine="480" w:firstLineChars="200"/>
        <w:rPr>
          <w:rFonts w:hint="eastAsia" w:ascii="宋体" w:hAnsi="宋体" w:eastAsia="宋体" w:cs="宋体"/>
          <w:color w:val="000000"/>
          <w:kern w:val="0"/>
          <w:sz w:val="24"/>
          <w:szCs w:val="24"/>
          <w:highlight w:val="none"/>
        </w:rPr>
      </w:pPr>
      <w:r>
        <w:rPr>
          <w:rFonts w:hint="eastAsia" w:ascii="宋体" w:hAnsi="宋体" w:cs="宋体"/>
          <w:color w:val="000000"/>
          <w:kern w:val="0"/>
          <w:sz w:val="24"/>
          <w:szCs w:val="24"/>
          <w:highlight w:val="none"/>
          <w:lang w:val="en-US" w:eastAsia="zh-CN"/>
        </w:rPr>
        <w:t>吴世俊先生</w:t>
      </w:r>
      <w:r>
        <w:rPr>
          <w:rFonts w:hint="eastAsia" w:ascii="宋体" w:hAnsi="宋体" w:eastAsia="宋体" w:cs="宋体"/>
          <w:color w:val="000000"/>
          <w:kern w:val="0"/>
          <w:sz w:val="24"/>
          <w:szCs w:val="24"/>
          <w:highlight w:val="none"/>
        </w:rPr>
        <w:t>在任职期间勤勉尽职、恪尽职守，截至本公告披露日，其未持有公司股份。公司董事会对</w:t>
      </w:r>
      <w:r>
        <w:rPr>
          <w:rFonts w:hint="eastAsia" w:ascii="宋体" w:hAnsi="宋体" w:cs="宋体"/>
          <w:color w:val="000000"/>
          <w:kern w:val="0"/>
          <w:sz w:val="24"/>
          <w:szCs w:val="24"/>
          <w:highlight w:val="none"/>
          <w:lang w:val="en-US" w:eastAsia="zh-CN"/>
        </w:rPr>
        <w:t>吴世俊先生</w:t>
      </w:r>
      <w:r>
        <w:rPr>
          <w:rFonts w:hint="eastAsia" w:ascii="宋体" w:hAnsi="宋体" w:eastAsia="宋体" w:cs="宋体"/>
          <w:color w:val="000000"/>
          <w:kern w:val="0"/>
          <w:sz w:val="24"/>
          <w:szCs w:val="24"/>
          <w:highlight w:val="none"/>
        </w:rPr>
        <w:t>在公司任职期间所做出的贡献表示衷心的感谢！</w:t>
      </w:r>
    </w:p>
    <w:p w14:paraId="4CC81EC1">
      <w:pPr>
        <w:spacing w:line="360" w:lineRule="auto"/>
        <w:ind w:firstLine="480" w:firstLineChars="200"/>
        <w:rPr>
          <w:rFonts w:hint="eastAsia" w:ascii="宋体" w:hAnsi="宋体" w:eastAsia="宋体" w:cs="宋体"/>
          <w:color w:val="000000"/>
          <w:kern w:val="0"/>
          <w:sz w:val="24"/>
          <w:szCs w:val="24"/>
          <w:highlight w:val="none"/>
        </w:rPr>
      </w:pPr>
      <w:r>
        <w:rPr>
          <w:rFonts w:hint="eastAsia" w:ascii="宋体" w:hAnsi="宋体" w:cs="宋体"/>
          <w:color w:val="000000"/>
          <w:kern w:val="0"/>
          <w:sz w:val="24"/>
          <w:szCs w:val="24"/>
          <w:highlight w:val="none"/>
          <w:lang w:val="en-US" w:eastAsia="zh-CN"/>
        </w:rPr>
        <w:t>吴世俊先生</w:t>
      </w:r>
      <w:r>
        <w:rPr>
          <w:rFonts w:hint="eastAsia" w:ascii="宋体" w:hAnsi="宋体" w:eastAsia="宋体" w:cs="宋体"/>
          <w:color w:val="000000"/>
          <w:kern w:val="0"/>
          <w:sz w:val="24"/>
          <w:szCs w:val="24"/>
          <w:highlight w:val="none"/>
        </w:rPr>
        <w:t>的辞职不会影响公司相关工作的正常开展。公司董事会将按照相关规定尽快选聘符合任职资格的相关人员担任证券事务代表，协助公司董事会秘书开展工作。</w:t>
      </w:r>
    </w:p>
    <w:p w14:paraId="3F71690A">
      <w:pPr>
        <w:pStyle w:val="8"/>
        <w:spacing w:before="312" w:beforeLines="100" w:beforeAutospacing="0" w:after="312" w:afterLines="100" w:afterAutospacing="0" w:line="360" w:lineRule="auto"/>
        <w:ind w:firstLine="480" w:firstLineChars="200"/>
        <w:rPr>
          <w:rFonts w:hint="eastAsia" w:ascii="宋体" w:hAnsi="宋体" w:eastAsia="宋体" w:cs="宋体"/>
          <w:kern w:val="2"/>
          <w:szCs w:val="21"/>
          <w:lang w:eastAsia="zh-CN"/>
        </w:rPr>
      </w:pPr>
      <w:r>
        <w:rPr>
          <w:rFonts w:hint="eastAsia" w:ascii="宋体" w:hAnsi="宋体" w:eastAsia="宋体" w:cs="宋体"/>
        </w:rPr>
        <w:t>特此公告</w:t>
      </w:r>
      <w:r>
        <w:rPr>
          <w:rFonts w:hint="eastAsia" w:cs="宋体"/>
          <w:lang w:eastAsia="zh-CN"/>
        </w:rPr>
        <w:t>。</w:t>
      </w:r>
    </w:p>
    <w:p w14:paraId="7CD7740E">
      <w:pPr>
        <w:spacing w:before="156" w:beforeLines="50" w:after="156" w:afterLines="50" w:line="360" w:lineRule="auto"/>
        <w:rPr>
          <w:rFonts w:hint="eastAsia" w:ascii="宋体" w:hAnsi="宋体" w:eastAsia="宋体" w:cs="宋体"/>
          <w:color w:val="000000"/>
          <w:kern w:val="0"/>
          <w:sz w:val="24"/>
          <w:szCs w:val="24"/>
        </w:rPr>
      </w:pPr>
    </w:p>
    <w:p w14:paraId="708C2B9A">
      <w:pPr>
        <w:spacing w:line="360" w:lineRule="auto"/>
        <w:ind w:firstLine="480" w:firstLineChars="200"/>
        <w:rPr>
          <w:rFonts w:hint="eastAsia" w:ascii="宋体" w:hAnsi="宋体" w:eastAsia="宋体" w:cs="宋体"/>
          <w:sz w:val="24"/>
          <w:szCs w:val="21"/>
        </w:rPr>
      </w:pPr>
    </w:p>
    <w:p w14:paraId="4C71B026">
      <w:pPr>
        <w:widowControl/>
        <w:adjustRightInd w:val="0"/>
        <w:snapToGrid w:val="0"/>
        <w:spacing w:line="360" w:lineRule="auto"/>
        <w:ind w:firstLine="480" w:firstLineChars="200"/>
        <w:jc w:val="right"/>
        <w:rPr>
          <w:rFonts w:hint="eastAsia" w:ascii="宋体" w:hAnsi="宋体" w:eastAsia="宋体" w:cs="宋体"/>
          <w:sz w:val="24"/>
          <w:szCs w:val="21"/>
        </w:rPr>
      </w:pPr>
      <w:r>
        <w:rPr>
          <w:rFonts w:hint="eastAsia" w:ascii="宋体" w:hAnsi="宋体" w:eastAsia="宋体" w:cs="宋体"/>
          <w:sz w:val="24"/>
          <w:szCs w:val="21"/>
        </w:rPr>
        <w:t>福建广生堂药业股份有限公司董事会</w:t>
      </w:r>
    </w:p>
    <w:p w14:paraId="5AA92494">
      <w:pPr>
        <w:widowControl/>
        <w:adjustRightInd w:val="0"/>
        <w:snapToGrid w:val="0"/>
        <w:spacing w:line="360" w:lineRule="auto"/>
        <w:ind w:firstLine="5520" w:firstLineChars="2300"/>
        <w:jc w:val="left"/>
        <w:rPr>
          <w:rFonts w:hint="eastAsia" w:ascii="宋体" w:hAnsi="宋体" w:eastAsia="宋体" w:cs="宋体"/>
          <w:sz w:val="24"/>
          <w:szCs w:val="24"/>
        </w:rPr>
      </w:pPr>
      <w:r>
        <w:rPr>
          <w:rFonts w:hint="eastAsia" w:ascii="宋体" w:hAnsi="宋体" w:eastAsia="宋体" w:cs="宋体"/>
          <w:sz w:val="24"/>
          <w:szCs w:val="21"/>
        </w:rPr>
        <w:t>2025年</w:t>
      </w:r>
      <w:r>
        <w:rPr>
          <w:rFonts w:hint="eastAsia" w:ascii="宋体" w:hAnsi="宋体" w:cs="宋体"/>
          <w:sz w:val="24"/>
          <w:szCs w:val="21"/>
          <w:lang w:val="en-US" w:eastAsia="zh-CN"/>
        </w:rPr>
        <w:t>4</w:t>
      </w:r>
      <w:r>
        <w:rPr>
          <w:rFonts w:hint="eastAsia" w:ascii="宋体" w:hAnsi="宋体" w:eastAsia="宋体" w:cs="宋体"/>
          <w:sz w:val="24"/>
          <w:szCs w:val="21"/>
        </w:rPr>
        <w:t>月</w:t>
      </w:r>
      <w:r>
        <w:rPr>
          <w:rFonts w:hint="eastAsia" w:ascii="宋体" w:hAnsi="宋体" w:cs="宋体"/>
          <w:sz w:val="24"/>
          <w:szCs w:val="21"/>
          <w:lang w:val="en-US" w:eastAsia="zh-CN"/>
        </w:rPr>
        <w:t>2</w:t>
      </w:r>
      <w:r>
        <w:rPr>
          <w:rFonts w:hint="eastAsia" w:ascii="宋体" w:hAnsi="宋体" w:eastAsia="宋体" w:cs="宋体"/>
          <w:sz w:val="24"/>
          <w:szCs w:val="21"/>
        </w:rPr>
        <w:t>日</w:t>
      </w:r>
    </w:p>
    <w:sectPr>
      <w:headerReference r:id="rId5" w:type="first"/>
      <w:headerReference r:id="rId3" w:type="default"/>
      <w:footerReference r:id="rId6"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0A135">
    <w:pPr>
      <w:pStyle w:val="5"/>
      <w:jc w:val="center"/>
    </w:pPr>
    <w:r>
      <w:fldChar w:fldCharType="begin"/>
    </w:r>
    <w:r>
      <w:instrText xml:space="preserve">PAGE   \* MERGEFORMAT</w:instrText>
    </w:r>
    <w:r>
      <w:fldChar w:fldCharType="separate"/>
    </w:r>
    <w:r>
      <w:rPr>
        <w:lang w:val="zh-CN"/>
      </w:rPr>
      <w:t>1</w:t>
    </w:r>
    <w:r>
      <w:fldChar w:fldCharType="end"/>
    </w:r>
  </w:p>
  <w:p w14:paraId="18E53C7B">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5F82C">
    <w:pPr>
      <w:pStyle w:val="6"/>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C1EA3">
    <w:pPr>
      <w:pStyle w:val="6"/>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9C2AB">
    <w:pPr>
      <w:pStyle w:val="6"/>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s>
  <w:rsids>
    <w:rsidRoot w:val="00082C74"/>
    <w:rsid w:val="00043EA5"/>
    <w:rsid w:val="00062142"/>
    <w:rsid w:val="00082C74"/>
    <w:rsid w:val="000F1437"/>
    <w:rsid w:val="000F2B72"/>
    <w:rsid w:val="000F51AB"/>
    <w:rsid w:val="00144C6A"/>
    <w:rsid w:val="00161734"/>
    <w:rsid w:val="001F5A28"/>
    <w:rsid w:val="0021331C"/>
    <w:rsid w:val="002448CC"/>
    <w:rsid w:val="0024604B"/>
    <w:rsid w:val="002562CC"/>
    <w:rsid w:val="002D1F1C"/>
    <w:rsid w:val="00303F01"/>
    <w:rsid w:val="00303F1D"/>
    <w:rsid w:val="003225AE"/>
    <w:rsid w:val="00376191"/>
    <w:rsid w:val="003975DD"/>
    <w:rsid w:val="003C796A"/>
    <w:rsid w:val="003E7976"/>
    <w:rsid w:val="00432AA7"/>
    <w:rsid w:val="00494C23"/>
    <w:rsid w:val="004C65EB"/>
    <w:rsid w:val="004C7FBE"/>
    <w:rsid w:val="004D3DF7"/>
    <w:rsid w:val="004F03D6"/>
    <w:rsid w:val="00532AA5"/>
    <w:rsid w:val="00547EA4"/>
    <w:rsid w:val="0066395D"/>
    <w:rsid w:val="00690D05"/>
    <w:rsid w:val="006B1FE9"/>
    <w:rsid w:val="006C71F1"/>
    <w:rsid w:val="007320D8"/>
    <w:rsid w:val="00756F5D"/>
    <w:rsid w:val="007D07FC"/>
    <w:rsid w:val="007F5678"/>
    <w:rsid w:val="008D4935"/>
    <w:rsid w:val="008D666C"/>
    <w:rsid w:val="008E44A2"/>
    <w:rsid w:val="008F7F84"/>
    <w:rsid w:val="009E07F6"/>
    <w:rsid w:val="00A00FE0"/>
    <w:rsid w:val="00A344A1"/>
    <w:rsid w:val="00A805AA"/>
    <w:rsid w:val="00AB4096"/>
    <w:rsid w:val="00AF1AA1"/>
    <w:rsid w:val="00BE7D4C"/>
    <w:rsid w:val="00CC0F8D"/>
    <w:rsid w:val="00CC3391"/>
    <w:rsid w:val="00CD4982"/>
    <w:rsid w:val="00D001AA"/>
    <w:rsid w:val="00D44ECB"/>
    <w:rsid w:val="00DA523A"/>
    <w:rsid w:val="00DB2420"/>
    <w:rsid w:val="00E10BCF"/>
    <w:rsid w:val="00E71137"/>
    <w:rsid w:val="00F40987"/>
    <w:rsid w:val="00F46DA3"/>
    <w:rsid w:val="00FC5C66"/>
    <w:rsid w:val="01832591"/>
    <w:rsid w:val="08B74923"/>
    <w:rsid w:val="08FB5213"/>
    <w:rsid w:val="093208FE"/>
    <w:rsid w:val="0B0225D9"/>
    <w:rsid w:val="0BC41804"/>
    <w:rsid w:val="106D4074"/>
    <w:rsid w:val="10AE6DBE"/>
    <w:rsid w:val="141B4B0A"/>
    <w:rsid w:val="14B42A93"/>
    <w:rsid w:val="15E20BAE"/>
    <w:rsid w:val="17286D0C"/>
    <w:rsid w:val="179764FD"/>
    <w:rsid w:val="17BE4DAF"/>
    <w:rsid w:val="1A4D7493"/>
    <w:rsid w:val="1AD55213"/>
    <w:rsid w:val="1CA92C52"/>
    <w:rsid w:val="1E731769"/>
    <w:rsid w:val="21160150"/>
    <w:rsid w:val="24A94139"/>
    <w:rsid w:val="24D35EFE"/>
    <w:rsid w:val="257106CD"/>
    <w:rsid w:val="27C56BA3"/>
    <w:rsid w:val="2A8668B4"/>
    <w:rsid w:val="2BD90527"/>
    <w:rsid w:val="2DA73BC9"/>
    <w:rsid w:val="2F4260D0"/>
    <w:rsid w:val="30333103"/>
    <w:rsid w:val="35644951"/>
    <w:rsid w:val="36C10BB7"/>
    <w:rsid w:val="3A896735"/>
    <w:rsid w:val="3DFB283E"/>
    <w:rsid w:val="41BE5866"/>
    <w:rsid w:val="428E2D6F"/>
    <w:rsid w:val="43071F86"/>
    <w:rsid w:val="452669A6"/>
    <w:rsid w:val="46A81416"/>
    <w:rsid w:val="487E1178"/>
    <w:rsid w:val="4CBC5798"/>
    <w:rsid w:val="4D1A7B0D"/>
    <w:rsid w:val="4E520210"/>
    <w:rsid w:val="4E787F99"/>
    <w:rsid w:val="4FDE1EEA"/>
    <w:rsid w:val="54F25B03"/>
    <w:rsid w:val="55701CD9"/>
    <w:rsid w:val="55CE5325"/>
    <w:rsid w:val="5CA23B87"/>
    <w:rsid w:val="61371BA7"/>
    <w:rsid w:val="61BD594B"/>
    <w:rsid w:val="65B926B0"/>
    <w:rsid w:val="65F77C1F"/>
    <w:rsid w:val="66F64CB2"/>
    <w:rsid w:val="67D0597C"/>
    <w:rsid w:val="68867589"/>
    <w:rsid w:val="6AC01691"/>
    <w:rsid w:val="6C1D7DFE"/>
    <w:rsid w:val="6DC538B9"/>
    <w:rsid w:val="70C0732B"/>
    <w:rsid w:val="74E51BC9"/>
    <w:rsid w:val="75BB0D44"/>
    <w:rsid w:val="78EE574A"/>
    <w:rsid w:val="798C7FDD"/>
    <w:rsid w:val="7D975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3"/>
    <w:qFormat/>
    <w:uiPriority w:val="9"/>
    <w:pPr>
      <w:keepNext/>
      <w:keepLines/>
      <w:spacing w:beforeLines="50" w:afterLines="50" w:line="360" w:lineRule="auto"/>
      <w:outlineLvl w:val="0"/>
    </w:pPr>
    <w:rPr>
      <w:b/>
      <w:kern w:val="44"/>
      <w:sz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Indent"/>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4">
    <w:name w:val="annotation text"/>
    <w:basedOn w:val="1"/>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脚 字符"/>
    <w:link w:val="5"/>
    <w:qFormat/>
    <w:uiPriority w:val="99"/>
    <w:rPr>
      <w:sz w:val="18"/>
      <w:szCs w:val="18"/>
    </w:rPr>
  </w:style>
  <w:style w:type="character" w:customStyle="1" w:styleId="13">
    <w:name w:val="页眉 字符"/>
    <w:link w:val="6"/>
    <w:semiHidden/>
    <w:qFormat/>
    <w:uiPriority w:val="99"/>
    <w:rPr>
      <w:sz w:val="18"/>
      <w:szCs w:val="18"/>
    </w:rPr>
  </w:style>
  <w:style w:type="character" w:customStyle="1" w:styleId="14">
    <w:name w:val="HTML 预设格式 字符"/>
    <w:link w:val="7"/>
    <w:qFormat/>
    <w:uiPriority w:val="99"/>
    <w:rPr>
      <w:rFonts w:ascii="宋体" w:hAnsi="宋体" w:cs="宋体"/>
      <w:sz w:val="24"/>
      <w:szCs w:val="24"/>
    </w:rPr>
  </w:style>
  <w:style w:type="table" w:customStyle="1" w:styleId="15">
    <w:name w:val="网格型1"/>
    <w:basedOn w:val="9"/>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6">
    <w:name w:val="fontstyle01"/>
    <w:qFormat/>
    <w:uiPriority w:val="0"/>
    <w:rPr>
      <w:rFonts w:hint="eastAsia" w:ascii="宋体" w:hAnsi="宋体" w:eastAsia="宋体"/>
      <w:color w:val="000000"/>
      <w:sz w:val="24"/>
      <w:szCs w:val="24"/>
    </w:rPr>
  </w:style>
  <w:style w:type="paragraph" w:customStyle="1" w:styleId="17">
    <w:name w:val="Revision"/>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1</Pages>
  <Words>387</Words>
  <Characters>398</Characters>
  <Lines>8</Lines>
  <Paragraphs>2</Paragraphs>
  <TotalTime>0</TotalTime>
  <ScaleCrop>false</ScaleCrop>
  <LinksUpToDate>false</LinksUpToDate>
  <CharactersWithSpaces>412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2014-02-19T09:25:00Z</dcterms:created>
  <dc:creator>王琴</dc:creator>
  <cp:lastModifiedBy>cdq</cp:lastModifiedBy>
  <cp:lastPrinted>2025-03-17T09:27:00Z</cp:lastPrinted>
  <dcterms:modified xsi:type="dcterms:W3CDTF">2025-04-02T08:31:55Z</dcterms:modified>
  <dc:title>证券代码:300436      证券简称：广生堂     公告编号：20170</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