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D0327B">
      <w:pPr>
        <w:spacing w:line="360" w:lineRule="auto"/>
        <w:rPr>
          <w:rFonts w:hint="default" w:ascii="宋体" w:hAnsi="宋体" w:eastAsia="宋体" w:cs="宋体"/>
          <w:kern w:val="0"/>
          <w:sz w:val="24"/>
          <w:szCs w:val="24"/>
          <w:highlight w:val="none"/>
          <w:lang w:val="en-US" w:eastAsia="zh-CN"/>
        </w:rPr>
      </w:pPr>
      <w:r>
        <w:rPr>
          <w:rFonts w:hint="eastAsia" w:ascii="宋体" w:hAnsi="宋体" w:cs="宋体"/>
          <w:kern w:val="0"/>
          <w:sz w:val="24"/>
          <w:szCs w:val="24"/>
          <w:highlight w:val="none"/>
        </w:rPr>
        <w:t>证券代码：300436        证券简称：广生堂      公告编号：2025</w:t>
      </w:r>
      <w:r>
        <w:rPr>
          <w:rFonts w:hint="eastAsia" w:ascii="宋体" w:hAnsi="宋体" w:cs="宋体"/>
          <w:kern w:val="0"/>
          <w:sz w:val="24"/>
          <w:szCs w:val="24"/>
          <w:highlight w:val="none"/>
          <w:lang w:val="en-US" w:eastAsia="zh-CN"/>
        </w:rPr>
        <w:t>017</w:t>
      </w:r>
      <w:bookmarkStart w:id="0" w:name="_GoBack"/>
      <w:bookmarkEnd w:id="0"/>
    </w:p>
    <w:p w14:paraId="162D84CF">
      <w:pPr>
        <w:spacing w:before="156" w:beforeLines="50"/>
        <w:jc w:val="center"/>
        <w:rPr>
          <w:rFonts w:ascii="宋体" w:hAnsi="宋体" w:cs="宋体"/>
          <w:b/>
          <w:kern w:val="0"/>
          <w:sz w:val="32"/>
          <w:szCs w:val="32"/>
          <w:highlight w:val="none"/>
        </w:rPr>
      </w:pPr>
      <w:r>
        <w:rPr>
          <w:rFonts w:hint="eastAsia" w:ascii="宋体" w:hAnsi="宋体" w:cs="宋体"/>
          <w:b/>
          <w:kern w:val="0"/>
          <w:sz w:val="32"/>
          <w:szCs w:val="32"/>
          <w:highlight w:val="none"/>
        </w:rPr>
        <w:t>福建广生堂药业股份有限公司</w:t>
      </w:r>
    </w:p>
    <w:p w14:paraId="6B4CB0CB">
      <w:pPr>
        <w:jc w:val="center"/>
        <w:rPr>
          <w:rFonts w:ascii="宋体" w:hAnsi="宋体" w:cs="宋体"/>
          <w:b/>
          <w:sz w:val="32"/>
          <w:szCs w:val="32"/>
          <w:highlight w:val="none"/>
        </w:rPr>
      </w:pPr>
      <w:r>
        <w:rPr>
          <w:rFonts w:hint="eastAsia" w:ascii="宋体" w:hAnsi="宋体" w:cs="宋体"/>
          <w:b/>
          <w:sz w:val="32"/>
          <w:szCs w:val="32"/>
          <w:highlight w:val="none"/>
        </w:rPr>
        <w:t>关于2025年度向特定对象发行A股股票预案披露的</w:t>
      </w:r>
    </w:p>
    <w:p w14:paraId="78275367">
      <w:pPr>
        <w:jc w:val="center"/>
        <w:rPr>
          <w:rFonts w:ascii="宋体" w:hAnsi="宋体" w:cs="宋体"/>
          <w:b/>
          <w:sz w:val="32"/>
          <w:szCs w:val="32"/>
          <w:highlight w:val="none"/>
        </w:rPr>
      </w:pPr>
      <w:r>
        <w:rPr>
          <w:rFonts w:hint="eastAsia" w:ascii="宋体" w:hAnsi="宋体" w:cs="宋体"/>
          <w:b/>
          <w:sz w:val="32"/>
          <w:szCs w:val="32"/>
          <w:highlight w:val="none"/>
        </w:rPr>
        <w:t>提示性公告</w:t>
      </w:r>
    </w:p>
    <w:p w14:paraId="17B799C5">
      <w:pPr>
        <w:jc w:val="center"/>
        <w:rPr>
          <w:rFonts w:ascii="宋体" w:hAnsi="宋体" w:cs="宋体"/>
          <w:b/>
          <w:sz w:val="24"/>
          <w:szCs w:val="24"/>
          <w:highlight w:val="none"/>
        </w:rPr>
      </w:pPr>
    </w:p>
    <w:tbl>
      <w:tblPr>
        <w:tblStyle w:val="9"/>
        <w:tblW w:w="0" w:type="auto"/>
        <w:tblInd w:w="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108" w:type="dxa"/>
          <w:bottom w:w="0" w:type="dxa"/>
          <w:right w:w="108" w:type="dxa"/>
        </w:tblCellMar>
      </w:tblPr>
      <w:tblGrid>
        <w:gridCol w:w="8522"/>
      </w:tblGrid>
      <w:tr w14:paraId="125E71FF">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1457" w:hRule="atLeast"/>
        </w:trPr>
        <w:tc>
          <w:tcPr>
            <w:tcW w:w="8522" w:type="dxa"/>
            <w:vAlign w:val="center"/>
          </w:tcPr>
          <w:p w14:paraId="7992DE13">
            <w:pPr>
              <w:widowControl/>
              <w:ind w:firstLine="600" w:firstLineChars="200"/>
              <w:rPr>
                <w:rFonts w:ascii="宋体" w:hAnsi="宋体" w:cs="宋体"/>
                <w:b/>
                <w:sz w:val="30"/>
                <w:szCs w:val="30"/>
                <w:highlight w:val="none"/>
              </w:rPr>
            </w:pPr>
            <w:r>
              <w:rPr>
                <w:rFonts w:hint="eastAsia" w:ascii="宋体" w:hAnsi="宋体" w:cs="宋体"/>
                <w:kern w:val="0"/>
                <w:sz w:val="30"/>
                <w:szCs w:val="30"/>
                <w:highlight w:val="none"/>
              </w:rPr>
              <w:t>本公司及董事会全体成员保证信息披露的内容真实、准确、完整，没有虚假记载、误导性陈述或重大遗漏。</w:t>
            </w:r>
          </w:p>
        </w:tc>
      </w:tr>
    </w:tbl>
    <w:p w14:paraId="4C47F71D">
      <w:pPr>
        <w:adjustRightInd w:val="0"/>
        <w:snapToGrid w:val="0"/>
        <w:spacing w:before="156" w:beforeLines="50"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福建广生堂药业股份有限公司（以下简称“公司”）于2025年4月2日召开公司第五届董事会第七次会议、第五届监事会第六次会议，分别审议通过了本次关于公司向特定对象发行股票的相关议案。</w:t>
      </w:r>
    </w:p>
    <w:p w14:paraId="7FDFE534">
      <w:pPr>
        <w:adjustRightInd w:val="0"/>
        <w:snapToGrid w:val="0"/>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公司编制的《福建广生堂药业股份有限公司2025年度向特定对象发行A股股票预案》（以下简称“预案”）已于2025年4月</w:t>
      </w:r>
      <w:r>
        <w:rPr>
          <w:rFonts w:hint="eastAsia" w:ascii="宋体" w:hAnsi="宋体" w:cs="宋体"/>
          <w:sz w:val="24"/>
          <w:szCs w:val="24"/>
          <w:highlight w:val="none"/>
          <w:lang w:val="en-US" w:eastAsia="zh-CN"/>
        </w:rPr>
        <w:t>2</w:t>
      </w:r>
      <w:r>
        <w:rPr>
          <w:rFonts w:hint="eastAsia" w:ascii="宋体" w:hAnsi="宋体" w:cs="宋体"/>
          <w:sz w:val="24"/>
          <w:szCs w:val="24"/>
          <w:highlight w:val="none"/>
        </w:rPr>
        <w:t>日在巨潮资讯网（http://www.cninfo.com.cn）披露，请投资者注意查阅。</w:t>
      </w:r>
    </w:p>
    <w:p w14:paraId="4B68FBA5">
      <w:pPr>
        <w:spacing w:line="360" w:lineRule="auto"/>
        <w:ind w:firstLine="480" w:firstLineChars="200"/>
        <w:rPr>
          <w:rFonts w:ascii="宋体" w:hAnsi="宋体" w:cs="宋体"/>
          <w:color w:val="000000"/>
          <w:kern w:val="0"/>
          <w:sz w:val="24"/>
          <w:szCs w:val="24"/>
          <w:highlight w:val="none"/>
        </w:rPr>
      </w:pPr>
      <w:r>
        <w:rPr>
          <w:rFonts w:hint="eastAsia" w:ascii="宋体" w:hAnsi="宋体" w:cs="宋体"/>
          <w:color w:val="000000"/>
          <w:kern w:val="0"/>
          <w:sz w:val="24"/>
          <w:szCs w:val="24"/>
          <w:highlight w:val="none"/>
        </w:rPr>
        <w:t>公司向特定对象发行股票预案的披露事项不代表审批机关对本次向特定对象发行股票相关事项的实质性判断、确认或批准，预案所述本次向特定对象发行股票相关事项尚需公司股东大会审议通过、深圳证券交易所审核通过并经中国证券监督管理委员会同意注册。敬请广大投资者注意投资风险。</w:t>
      </w:r>
    </w:p>
    <w:p w14:paraId="158AB73F">
      <w:pPr>
        <w:pStyle w:val="8"/>
        <w:spacing w:before="312" w:beforeLines="100" w:beforeAutospacing="0" w:after="312" w:afterLines="100" w:afterAutospacing="0" w:line="360" w:lineRule="auto"/>
        <w:ind w:firstLine="480" w:firstLineChars="200"/>
        <w:rPr>
          <w:kern w:val="2"/>
          <w:szCs w:val="21"/>
          <w:highlight w:val="none"/>
        </w:rPr>
      </w:pPr>
      <w:r>
        <w:rPr>
          <w:rFonts w:hint="eastAsia"/>
          <w:highlight w:val="none"/>
        </w:rPr>
        <w:t>特此公告。</w:t>
      </w:r>
    </w:p>
    <w:p w14:paraId="05A49840">
      <w:pPr>
        <w:spacing w:before="156" w:beforeLines="50" w:after="156" w:afterLines="50" w:line="360" w:lineRule="auto"/>
        <w:rPr>
          <w:rFonts w:ascii="宋体" w:hAnsi="宋体" w:cs="宋体"/>
          <w:color w:val="000000"/>
          <w:kern w:val="0"/>
          <w:sz w:val="24"/>
          <w:szCs w:val="24"/>
          <w:highlight w:val="none"/>
        </w:rPr>
      </w:pPr>
    </w:p>
    <w:p w14:paraId="167170BF">
      <w:pPr>
        <w:spacing w:line="360" w:lineRule="auto"/>
        <w:ind w:firstLine="480" w:firstLineChars="200"/>
        <w:rPr>
          <w:rFonts w:ascii="宋体" w:hAnsi="宋体" w:cs="宋体"/>
          <w:sz w:val="24"/>
          <w:szCs w:val="21"/>
          <w:highlight w:val="none"/>
        </w:rPr>
      </w:pPr>
    </w:p>
    <w:p w14:paraId="18FF0A48">
      <w:pPr>
        <w:widowControl/>
        <w:adjustRightInd w:val="0"/>
        <w:snapToGrid w:val="0"/>
        <w:spacing w:line="360" w:lineRule="auto"/>
        <w:ind w:firstLine="480" w:firstLineChars="200"/>
        <w:jc w:val="right"/>
        <w:rPr>
          <w:rFonts w:ascii="宋体" w:hAnsi="宋体" w:cs="宋体"/>
          <w:sz w:val="24"/>
          <w:szCs w:val="21"/>
          <w:highlight w:val="none"/>
        </w:rPr>
      </w:pPr>
      <w:r>
        <w:rPr>
          <w:rFonts w:hint="eastAsia" w:ascii="宋体" w:hAnsi="宋体" w:cs="宋体"/>
          <w:sz w:val="24"/>
          <w:szCs w:val="21"/>
          <w:highlight w:val="none"/>
        </w:rPr>
        <w:t>福建广生堂药业股份有限公司董事会</w:t>
      </w:r>
    </w:p>
    <w:p w14:paraId="0B3A3D28">
      <w:pPr>
        <w:widowControl/>
        <w:adjustRightInd w:val="0"/>
        <w:snapToGrid w:val="0"/>
        <w:spacing w:line="360" w:lineRule="auto"/>
        <w:ind w:firstLine="5520" w:firstLineChars="2300"/>
        <w:jc w:val="left"/>
        <w:rPr>
          <w:rFonts w:ascii="宋体" w:hAnsi="宋体" w:cs="宋体"/>
          <w:sz w:val="24"/>
          <w:szCs w:val="24"/>
          <w:highlight w:val="none"/>
        </w:rPr>
      </w:pPr>
      <w:r>
        <w:rPr>
          <w:rFonts w:hint="eastAsia" w:ascii="宋体" w:hAnsi="宋体" w:cs="宋体"/>
          <w:sz w:val="24"/>
          <w:szCs w:val="21"/>
          <w:highlight w:val="none"/>
        </w:rPr>
        <w:t>2025年</w:t>
      </w:r>
      <w:r>
        <w:rPr>
          <w:rFonts w:hint="eastAsia" w:ascii="宋体" w:hAnsi="宋体" w:cs="宋体"/>
          <w:sz w:val="24"/>
          <w:szCs w:val="21"/>
          <w:highlight w:val="none"/>
          <w:lang w:val="en-US" w:eastAsia="zh-CN"/>
        </w:rPr>
        <w:t>4</w:t>
      </w:r>
      <w:r>
        <w:rPr>
          <w:rFonts w:hint="eastAsia" w:ascii="宋体" w:hAnsi="宋体" w:cs="宋体"/>
          <w:sz w:val="24"/>
          <w:szCs w:val="21"/>
          <w:highlight w:val="none"/>
        </w:rPr>
        <w:t>月</w:t>
      </w:r>
      <w:r>
        <w:rPr>
          <w:rFonts w:hint="eastAsia" w:ascii="宋体" w:hAnsi="宋体" w:cs="宋体"/>
          <w:sz w:val="24"/>
          <w:szCs w:val="21"/>
          <w:highlight w:val="none"/>
          <w:lang w:val="en-US" w:eastAsia="zh-CN"/>
        </w:rPr>
        <w:t>2</w:t>
      </w:r>
      <w:r>
        <w:rPr>
          <w:rFonts w:hint="eastAsia" w:ascii="宋体" w:hAnsi="宋体" w:cs="宋体"/>
          <w:sz w:val="24"/>
          <w:szCs w:val="21"/>
          <w:highlight w:val="none"/>
        </w:rPr>
        <w:t>日</w:t>
      </w:r>
    </w:p>
    <w:sectPr>
      <w:headerReference r:id="rId5" w:type="first"/>
      <w:headerReference r:id="rId3" w:type="default"/>
      <w:footerReference r:id="rId6" w:type="default"/>
      <w:headerReference r:id="rId4"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685543">
    <w:pPr>
      <w:pStyle w:val="5"/>
      <w:jc w:val="center"/>
    </w:pPr>
    <w:r>
      <w:fldChar w:fldCharType="begin"/>
    </w:r>
    <w:r>
      <w:instrText xml:space="preserve">PAGE   \* MERGEFORMAT</w:instrText>
    </w:r>
    <w:r>
      <w:fldChar w:fldCharType="separate"/>
    </w:r>
    <w:r>
      <w:rPr>
        <w:lang w:val="zh-CN"/>
      </w:rPr>
      <w:t>1</w:t>
    </w:r>
    <w:r>
      <w:fldChar w:fldCharType="end"/>
    </w:r>
  </w:p>
  <w:p w14:paraId="7D9BBD4F">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149BE3">
    <w:pPr>
      <w:pStyle w:val="6"/>
      <w:tabs>
        <w:tab w:val="right" w:pos="9214"/>
        <w:tab w:val="clear" w:pos="8306"/>
      </w:tabs>
      <w:ind w:left="-1277" w:leftChars="-608" w:right="-1331" w:rightChars="-634" w:firstLine="1"/>
    </w:pPr>
    <w:r>
      <w:drawing>
        <wp:anchor distT="0" distB="0" distL="114300" distR="114300" simplePos="0" relativeHeight="251661312" behindDoc="1" locked="0" layoutInCell="0" allowOverlap="1">
          <wp:simplePos x="0" y="0"/>
          <wp:positionH relativeFrom="margin">
            <wp:align>center</wp:align>
          </wp:positionH>
          <wp:positionV relativeFrom="margin">
            <wp:align>center</wp:align>
          </wp:positionV>
          <wp:extent cx="7559040" cy="10692130"/>
          <wp:effectExtent l="0" t="0" r="3810" b="13970"/>
          <wp:wrapNone/>
          <wp:docPr id="3" name="WordPictureWatermark3069298" descr="通用信笺底板20140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3069298" descr="通用信笺底板20140220"/>
                  <pic:cNvPicPr>
                    <a:picLocks noChangeAspect="1"/>
                  </pic:cNvPicPr>
                </pic:nvPicPr>
                <pic:blipFill>
                  <a:blip r:embed="rId1"/>
                  <a:stretch>
                    <a:fillRect/>
                  </a:stretch>
                </pic:blipFill>
                <pic:spPr>
                  <a:xfrm>
                    <a:off x="0" y="0"/>
                    <a:ext cx="7559040" cy="10692130"/>
                  </a:xfrm>
                  <a:prstGeom prst="rect">
                    <a:avLst/>
                  </a:prstGeom>
                  <a:noFill/>
                  <a:ln>
                    <a:noFill/>
                  </a:ln>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C15640">
    <w:pPr>
      <w:pStyle w:val="6"/>
    </w:pPr>
    <w:r>
      <w:drawing>
        <wp:anchor distT="0" distB="0" distL="114300" distR="114300" simplePos="0" relativeHeight="251660288" behindDoc="1" locked="0" layoutInCell="0" allowOverlap="1">
          <wp:simplePos x="0" y="0"/>
          <wp:positionH relativeFrom="margin">
            <wp:align>center</wp:align>
          </wp:positionH>
          <wp:positionV relativeFrom="margin">
            <wp:align>center</wp:align>
          </wp:positionV>
          <wp:extent cx="7559040" cy="10692130"/>
          <wp:effectExtent l="0" t="0" r="3810" b="13970"/>
          <wp:wrapNone/>
          <wp:docPr id="2" name="WordPictureWatermark3069297" descr="通用信笺底板20140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3069297" descr="通用信笺底板20140220"/>
                  <pic:cNvPicPr>
                    <a:picLocks noChangeAspect="1"/>
                  </pic:cNvPicPr>
                </pic:nvPicPr>
                <pic:blipFill>
                  <a:blip r:embed="rId1"/>
                  <a:stretch>
                    <a:fillRect/>
                  </a:stretch>
                </pic:blipFill>
                <pic:spPr>
                  <a:xfrm>
                    <a:off x="0" y="0"/>
                    <a:ext cx="7559040" cy="10692130"/>
                  </a:xfrm>
                  <a:prstGeom prst="rect">
                    <a:avLst/>
                  </a:prstGeom>
                  <a:noFill/>
                  <a:ln>
                    <a:noFill/>
                  </a:ln>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25E58C">
    <w:pPr>
      <w:pStyle w:val="6"/>
    </w:pPr>
    <w:r>
      <w:drawing>
        <wp:anchor distT="0" distB="0" distL="114300" distR="114300" simplePos="0" relativeHeight="251659264" behindDoc="1" locked="0" layoutInCell="0" allowOverlap="1">
          <wp:simplePos x="0" y="0"/>
          <wp:positionH relativeFrom="margin">
            <wp:align>center</wp:align>
          </wp:positionH>
          <wp:positionV relativeFrom="margin">
            <wp:align>center</wp:align>
          </wp:positionV>
          <wp:extent cx="7559040" cy="10692130"/>
          <wp:effectExtent l="0" t="0" r="3810" b="13970"/>
          <wp:wrapNone/>
          <wp:docPr id="1" name="WordPictureWatermark3069296" descr="通用信笺底板20140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PictureWatermark3069296" descr="通用信笺底板20140220"/>
                  <pic:cNvPicPr>
                    <a:picLocks noChangeAspect="1"/>
                  </pic:cNvPicPr>
                </pic:nvPicPr>
                <pic:blipFill>
                  <a:blip r:embed="rId1"/>
                  <a:stretch>
                    <a:fillRect/>
                  </a:stretch>
                </pic:blipFill>
                <pic:spPr>
                  <a:xfrm>
                    <a:off x="0" y="0"/>
                    <a:ext cx="7559040" cy="10692130"/>
                  </a:xfrm>
                  <a:prstGeom prst="rect">
                    <a:avLst/>
                  </a:prstGeom>
                  <a:noFill/>
                  <a:ln>
                    <a:noFill/>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Q4MDAzNjNiM2EwYjNjY2VkN2I2ZWY4OTg5YTA1ZWYifQ=="/>
    <w:docVar w:name="metasota_documentID" w:val="8594944006414684160"/>
  </w:docVars>
  <w:rsids>
    <w:rsidRoot w:val="00082C74"/>
    <w:rsid w:val="00043EA5"/>
    <w:rsid w:val="00062142"/>
    <w:rsid w:val="00082C74"/>
    <w:rsid w:val="000F1437"/>
    <w:rsid w:val="000F2B72"/>
    <w:rsid w:val="000F51AB"/>
    <w:rsid w:val="00144C6A"/>
    <w:rsid w:val="00161734"/>
    <w:rsid w:val="001F5A28"/>
    <w:rsid w:val="0021331C"/>
    <w:rsid w:val="002448CC"/>
    <w:rsid w:val="0024604B"/>
    <w:rsid w:val="002562CC"/>
    <w:rsid w:val="002D1F1C"/>
    <w:rsid w:val="00303F01"/>
    <w:rsid w:val="00303F1D"/>
    <w:rsid w:val="003225AE"/>
    <w:rsid w:val="00376191"/>
    <w:rsid w:val="003975DD"/>
    <w:rsid w:val="003C796A"/>
    <w:rsid w:val="003E7976"/>
    <w:rsid w:val="00432AA7"/>
    <w:rsid w:val="00494C23"/>
    <w:rsid w:val="004C65EB"/>
    <w:rsid w:val="004C7FBE"/>
    <w:rsid w:val="004D3DF7"/>
    <w:rsid w:val="004F03D6"/>
    <w:rsid w:val="00532AA5"/>
    <w:rsid w:val="00547EA4"/>
    <w:rsid w:val="0066395D"/>
    <w:rsid w:val="00690D05"/>
    <w:rsid w:val="006B1FE9"/>
    <w:rsid w:val="006C71F1"/>
    <w:rsid w:val="007320D8"/>
    <w:rsid w:val="00756F5D"/>
    <w:rsid w:val="007C735F"/>
    <w:rsid w:val="007D07FC"/>
    <w:rsid w:val="007F5678"/>
    <w:rsid w:val="008A69F9"/>
    <w:rsid w:val="008D4935"/>
    <w:rsid w:val="008D666C"/>
    <w:rsid w:val="008E44A2"/>
    <w:rsid w:val="008F7F84"/>
    <w:rsid w:val="009E07F6"/>
    <w:rsid w:val="00A00FE0"/>
    <w:rsid w:val="00A344A1"/>
    <w:rsid w:val="00A805AA"/>
    <w:rsid w:val="00AB4096"/>
    <w:rsid w:val="00AF1AA1"/>
    <w:rsid w:val="00BE7D4C"/>
    <w:rsid w:val="00CA5B15"/>
    <w:rsid w:val="00CC0F8D"/>
    <w:rsid w:val="00CC3391"/>
    <w:rsid w:val="00CD4982"/>
    <w:rsid w:val="00D001AA"/>
    <w:rsid w:val="00D44ECB"/>
    <w:rsid w:val="00DA523A"/>
    <w:rsid w:val="00DB2420"/>
    <w:rsid w:val="00E10BCF"/>
    <w:rsid w:val="00E71137"/>
    <w:rsid w:val="00F40987"/>
    <w:rsid w:val="00F46DA3"/>
    <w:rsid w:val="00FC5C66"/>
    <w:rsid w:val="01832591"/>
    <w:rsid w:val="08B74923"/>
    <w:rsid w:val="093208FE"/>
    <w:rsid w:val="096C43B5"/>
    <w:rsid w:val="0B0225D9"/>
    <w:rsid w:val="0BC41804"/>
    <w:rsid w:val="106D4074"/>
    <w:rsid w:val="10AE6DBE"/>
    <w:rsid w:val="141B4B0A"/>
    <w:rsid w:val="14B42A93"/>
    <w:rsid w:val="15E20BAE"/>
    <w:rsid w:val="17286D0C"/>
    <w:rsid w:val="179764FD"/>
    <w:rsid w:val="17BE4DAF"/>
    <w:rsid w:val="1A4D7493"/>
    <w:rsid w:val="1AD55213"/>
    <w:rsid w:val="1D743260"/>
    <w:rsid w:val="1E731769"/>
    <w:rsid w:val="24A94139"/>
    <w:rsid w:val="24D35EFE"/>
    <w:rsid w:val="27C56BA3"/>
    <w:rsid w:val="2A8668B4"/>
    <w:rsid w:val="2BD90527"/>
    <w:rsid w:val="2DA73BC9"/>
    <w:rsid w:val="2F4260D0"/>
    <w:rsid w:val="30333103"/>
    <w:rsid w:val="35644951"/>
    <w:rsid w:val="36C10BB7"/>
    <w:rsid w:val="39522E57"/>
    <w:rsid w:val="3A896735"/>
    <w:rsid w:val="3DFB283E"/>
    <w:rsid w:val="41BE5866"/>
    <w:rsid w:val="428E2D6F"/>
    <w:rsid w:val="43071F86"/>
    <w:rsid w:val="434B3252"/>
    <w:rsid w:val="44C45FCB"/>
    <w:rsid w:val="452669A6"/>
    <w:rsid w:val="4CBC5798"/>
    <w:rsid w:val="4D1A7B0D"/>
    <w:rsid w:val="4E520210"/>
    <w:rsid w:val="4E787F99"/>
    <w:rsid w:val="4FDE1EEA"/>
    <w:rsid w:val="51DF04A9"/>
    <w:rsid w:val="54F25B03"/>
    <w:rsid w:val="55701CD9"/>
    <w:rsid w:val="5CA23B87"/>
    <w:rsid w:val="61371BA7"/>
    <w:rsid w:val="61BD594B"/>
    <w:rsid w:val="654D2D07"/>
    <w:rsid w:val="65B926B0"/>
    <w:rsid w:val="66F64CB2"/>
    <w:rsid w:val="67D0597C"/>
    <w:rsid w:val="68867589"/>
    <w:rsid w:val="6AC01691"/>
    <w:rsid w:val="6C1D7DFE"/>
    <w:rsid w:val="6DC538B9"/>
    <w:rsid w:val="70C0732B"/>
    <w:rsid w:val="74E51BC9"/>
    <w:rsid w:val="75BB0D44"/>
    <w:rsid w:val="78EE574A"/>
    <w:rsid w:val="798C7FDD"/>
    <w:rsid w:val="7D9755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3"/>
    <w:qFormat/>
    <w:uiPriority w:val="9"/>
    <w:pPr>
      <w:keepNext/>
      <w:keepLines/>
      <w:spacing w:beforeLines="50" w:afterLines="50" w:line="360" w:lineRule="auto"/>
      <w:outlineLvl w:val="0"/>
    </w:pPr>
    <w:rPr>
      <w:b/>
      <w:kern w:val="44"/>
      <w:sz w:val="24"/>
    </w:rPr>
  </w:style>
  <w:style w:type="character" w:default="1" w:styleId="11">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3">
    <w:name w:val="Normal Indent"/>
    <w:qFormat/>
    <w:uiPriority w:val="0"/>
    <w:pPr>
      <w:spacing w:before="50" w:beforeLines="50" w:line="360" w:lineRule="auto"/>
      <w:ind w:firstLine="200" w:firstLineChars="200"/>
      <w:jc w:val="both"/>
    </w:pPr>
    <w:rPr>
      <w:rFonts w:ascii="Times New Roman" w:hAnsi="Times New Roman" w:eastAsia="宋体" w:cs="Times New Roman"/>
      <w:kern w:val="2"/>
      <w:sz w:val="24"/>
      <w:szCs w:val="23"/>
      <w:lang w:val="en-US" w:eastAsia="zh-CN" w:bidi="ar-SA"/>
    </w:rPr>
  </w:style>
  <w:style w:type="paragraph" w:styleId="4">
    <w:name w:val="annotation text"/>
    <w:basedOn w:val="1"/>
    <w:semiHidden/>
    <w:unhideWhenUsed/>
    <w:uiPriority w:val="99"/>
    <w:pPr>
      <w:jc w:val="left"/>
    </w:p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HTML Preformatted"/>
    <w:basedOn w:val="1"/>
    <w:link w:val="14"/>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8">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页脚 字符"/>
    <w:link w:val="5"/>
    <w:qFormat/>
    <w:uiPriority w:val="99"/>
    <w:rPr>
      <w:sz w:val="18"/>
      <w:szCs w:val="18"/>
    </w:rPr>
  </w:style>
  <w:style w:type="character" w:customStyle="1" w:styleId="13">
    <w:name w:val="页眉 字符"/>
    <w:link w:val="6"/>
    <w:semiHidden/>
    <w:qFormat/>
    <w:uiPriority w:val="99"/>
    <w:rPr>
      <w:sz w:val="18"/>
      <w:szCs w:val="18"/>
    </w:rPr>
  </w:style>
  <w:style w:type="character" w:customStyle="1" w:styleId="14">
    <w:name w:val="HTML 预设格式 字符"/>
    <w:link w:val="7"/>
    <w:qFormat/>
    <w:uiPriority w:val="99"/>
    <w:rPr>
      <w:rFonts w:ascii="宋体" w:hAnsi="宋体" w:cs="宋体"/>
      <w:sz w:val="24"/>
      <w:szCs w:val="24"/>
    </w:rPr>
  </w:style>
  <w:style w:type="table" w:customStyle="1" w:styleId="15">
    <w:name w:val="网格型1"/>
    <w:basedOn w:val="9"/>
    <w:qFormat/>
    <w:uiPriority w:val="59"/>
    <w:rPr>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16">
    <w:name w:val="fontstyle01"/>
    <w:qFormat/>
    <w:uiPriority w:val="0"/>
    <w:rPr>
      <w:rFonts w:hint="eastAsia" w:ascii="宋体" w:hAnsi="宋体" w:eastAsia="宋体"/>
      <w:color w:val="000000"/>
      <w:sz w:val="24"/>
      <w:szCs w:val="24"/>
    </w:rPr>
  </w:style>
  <w:style w:type="paragraph" w:customStyle="1" w:styleId="17">
    <w:name w:val="修订1"/>
    <w:hidden/>
    <w:unhideWhenUsed/>
    <w:qFormat/>
    <w:uiPriority w:val="99"/>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company</Company>
  <Pages>1</Pages>
  <Words>425</Words>
  <Characters>471</Characters>
  <Lines>3</Lines>
  <Paragraphs>1</Paragraphs>
  <TotalTime>0</TotalTime>
  <ScaleCrop>false</ScaleCrop>
  <LinksUpToDate>false</LinksUpToDate>
  <CharactersWithSpaces>485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2014-02-19T09:25:00Z</dcterms:created>
  <dc:creator>王琴</dc:creator>
  <cp:lastModifiedBy>cdq</cp:lastModifiedBy>
  <cp:lastPrinted>2025-03-17T09:27:00Z</cp:lastPrinted>
  <dcterms:modified xsi:type="dcterms:W3CDTF">2025-04-02T08:30:15Z</dcterms:modified>
  <dc:title>证券代码:300436      证券简称：广生堂     公告编号：20170</dc:title>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AA7FC7C7664E468FBD22A6CC66A61750</vt:lpwstr>
  </property>
  <property fmtid="{D5CDD505-2E9C-101B-9397-08002B2CF9AE}" pid="4" name="KSOTemplateDocerSaveRecord">
    <vt:lpwstr>eyJoZGlkIjoiY2Q4MDAzNjNiM2EwYjNjY2VkN2I2ZWY4OTg5YTA1ZWYiLCJ1c2VySWQiOiIxMzk5OTUwMzQxIn0=</vt:lpwstr>
  </property>
</Properties>
</file>