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B388844">
      <w:pPr>
        <w:snapToGrid w:val="0"/>
        <w:spacing w:line="360" w:lineRule="auto"/>
        <w:jc w:val="center"/>
        <w:rPr>
          <w:rFonts w:hint="eastAsia" w:ascii="宋体" w:hAnsi="宋体" w:cs="宋体"/>
          <w:b/>
          <w:color w:val="000000" w:themeColor="text1"/>
          <w:kern w:val="0"/>
          <w:sz w:val="30"/>
          <w:szCs w:val="30"/>
          <w14:textFill>
            <w14:solidFill>
              <w14:schemeClr w14:val="tx1"/>
            </w14:solidFill>
          </w14:textFill>
        </w:rPr>
      </w:pPr>
      <w:bookmarkStart w:id="0" w:name="_GoBack"/>
      <w:bookmarkEnd w:id="0"/>
      <w:r>
        <w:rPr>
          <w:rFonts w:hint="eastAsia" w:ascii="宋体" w:hAnsi="宋体" w:cs="宋体"/>
          <w:b/>
          <w:color w:val="000000" w:themeColor="text1"/>
          <w:kern w:val="0"/>
          <w:sz w:val="30"/>
          <w:szCs w:val="30"/>
          <w14:textFill>
            <w14:solidFill>
              <w14:schemeClr w14:val="tx1"/>
            </w14:solidFill>
          </w14:textFill>
        </w:rPr>
        <w:t>福建广生堂药业股份有限公司</w:t>
      </w:r>
    </w:p>
    <w:p w14:paraId="4B388845">
      <w:pPr>
        <w:snapToGrid w:val="0"/>
        <w:spacing w:line="360" w:lineRule="auto"/>
        <w:jc w:val="center"/>
        <w:rPr>
          <w:rFonts w:hint="eastAsia" w:ascii="宋体" w:hAnsi="宋体" w:cs="宋体"/>
          <w:b/>
          <w:color w:val="000000" w:themeColor="text1"/>
          <w:kern w:val="0"/>
          <w:sz w:val="30"/>
          <w:szCs w:val="30"/>
          <w14:textFill>
            <w14:solidFill>
              <w14:schemeClr w14:val="tx1"/>
            </w14:solidFill>
          </w14:textFill>
        </w:rPr>
      </w:pPr>
      <w:r>
        <w:rPr>
          <w:rFonts w:hint="eastAsia" w:ascii="宋体" w:hAnsi="宋体" w:cs="宋体"/>
          <w:b/>
          <w:color w:val="000000" w:themeColor="text1"/>
          <w:kern w:val="0"/>
          <w:sz w:val="30"/>
          <w:szCs w:val="30"/>
          <w14:textFill>
            <w14:solidFill>
              <w14:schemeClr w14:val="tx1"/>
            </w14:solidFill>
          </w14:textFill>
        </w:rPr>
        <w:t>2024年度募集资金存放与使用情况的专项报告</w:t>
      </w:r>
    </w:p>
    <w:p w14:paraId="4B388846">
      <w:pPr>
        <w:snapToGrid w:val="0"/>
        <w:spacing w:line="360" w:lineRule="auto"/>
        <w:ind w:left="420"/>
        <w:rPr>
          <w:rFonts w:hint="eastAsia" w:ascii="宋体" w:hAnsi="宋体" w:cs="宋体"/>
          <w:color w:val="000000" w:themeColor="text1"/>
          <w:kern w:val="0"/>
          <w:sz w:val="22"/>
          <w:szCs w:val="22"/>
          <w14:textFill>
            <w14:solidFill>
              <w14:schemeClr w14:val="tx1"/>
            </w14:solidFill>
          </w14:textFill>
        </w:rPr>
      </w:pPr>
    </w:p>
    <w:p w14:paraId="4B388847">
      <w:pPr>
        <w:numPr>
          <w:ilvl w:val="0"/>
          <w:numId w:val="1"/>
        </w:numPr>
        <w:snapToGrid w:val="0"/>
        <w:spacing w:line="360" w:lineRule="auto"/>
        <w:rPr>
          <w:rFonts w:hint="eastAsia" w:ascii="宋体" w:hAnsi="宋体" w:cs="宋体"/>
          <w:b/>
          <w:color w:val="000000" w:themeColor="text1"/>
          <w:kern w:val="0"/>
          <w:szCs w:val="21"/>
          <w14:textFill>
            <w14:solidFill>
              <w14:schemeClr w14:val="tx1"/>
            </w14:solidFill>
          </w14:textFill>
        </w:rPr>
      </w:pPr>
      <w:r>
        <w:rPr>
          <w:rFonts w:ascii="宋体" w:hAnsi="宋体" w:cs="宋体"/>
          <w:b/>
          <w:color w:val="000000" w:themeColor="text1"/>
          <w:kern w:val="0"/>
          <w:szCs w:val="21"/>
          <w14:textFill>
            <w14:solidFill>
              <w14:schemeClr w14:val="tx1"/>
            </w14:solidFill>
          </w14:textFill>
        </w:rPr>
        <w:t>募集资金基本情况</w:t>
      </w:r>
    </w:p>
    <w:p w14:paraId="4B388849">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经中国证券监督管理委员会证监许可[2020]2748号核准，并经深圳证券交易所同意， 本公司由主承销商中信证券股份有限公司于</w:t>
      </w:r>
      <w:r>
        <w:rPr>
          <w:rFonts w:ascii="宋体" w:hAnsi="宋体"/>
          <w:color w:val="000000" w:themeColor="text1"/>
          <w:szCs w:val="21"/>
          <w14:textFill>
            <w14:solidFill>
              <w14:schemeClr w14:val="tx1"/>
            </w14:solidFill>
          </w14:textFill>
        </w:rPr>
        <w:t>2021</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月向特定对象发行普通股（A 股）股票</w:t>
      </w:r>
      <w:r>
        <w:rPr>
          <w:rFonts w:ascii="宋体" w:hAnsi="宋体"/>
          <w:color w:val="000000" w:themeColor="text1"/>
          <w:szCs w:val="21"/>
          <w14:textFill>
            <w14:solidFill>
              <w14:schemeClr w14:val="tx1"/>
            </w14:solidFill>
          </w14:textFill>
        </w:rPr>
        <w:t>1,877.70</w:t>
      </w:r>
      <w:r>
        <w:rPr>
          <w:rFonts w:hint="eastAsia" w:ascii="宋体" w:hAnsi="宋体"/>
          <w:color w:val="000000" w:themeColor="text1"/>
          <w:szCs w:val="21"/>
          <w14:textFill>
            <w14:solidFill>
              <w14:schemeClr w14:val="tx1"/>
            </w14:solidFill>
          </w14:textFill>
        </w:rPr>
        <w:t>万股，每股面值1元，每股发行价人民币</w:t>
      </w:r>
      <w:r>
        <w:rPr>
          <w:rFonts w:ascii="宋体" w:hAnsi="宋体"/>
          <w:color w:val="000000" w:themeColor="text1"/>
          <w:szCs w:val="21"/>
          <w14:textFill>
            <w14:solidFill>
              <w14:schemeClr w14:val="tx1"/>
            </w14:solidFill>
          </w14:textFill>
        </w:rPr>
        <w:t>27.40</w:t>
      </w:r>
      <w:r>
        <w:rPr>
          <w:rFonts w:hint="eastAsia" w:ascii="宋体" w:hAnsi="宋体"/>
          <w:color w:val="000000" w:themeColor="text1"/>
          <w:szCs w:val="21"/>
          <w14:textFill>
            <w14:solidFill>
              <w14:schemeClr w14:val="tx1"/>
            </w14:solidFill>
          </w14:textFill>
        </w:rPr>
        <w:t>元。截至</w:t>
      </w:r>
      <w:r>
        <w:rPr>
          <w:rFonts w:ascii="宋体" w:hAnsi="宋体"/>
          <w:color w:val="000000" w:themeColor="text1"/>
          <w:szCs w:val="21"/>
          <w14:textFill>
            <w14:solidFill>
              <w14:schemeClr w14:val="tx1"/>
            </w14:solidFill>
          </w14:textFill>
        </w:rPr>
        <w:t>2021</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21</w:t>
      </w:r>
      <w:r>
        <w:rPr>
          <w:rFonts w:hint="eastAsia" w:ascii="宋体" w:hAnsi="宋体"/>
          <w:color w:val="000000" w:themeColor="text1"/>
          <w:szCs w:val="21"/>
          <w14:textFill>
            <w14:solidFill>
              <w14:schemeClr w14:val="tx1"/>
            </w14:solidFill>
          </w14:textFill>
        </w:rPr>
        <w:t>日止，本公司共募集资金5</w:t>
      </w:r>
      <w:r>
        <w:rPr>
          <w:rFonts w:ascii="宋体" w:hAnsi="宋体"/>
          <w:color w:val="000000" w:themeColor="text1"/>
          <w:szCs w:val="21"/>
          <w14:textFill>
            <w14:solidFill>
              <w14:schemeClr w14:val="tx1"/>
            </w14:solidFill>
          </w14:textFill>
        </w:rPr>
        <w:t>14,489,800.00</w:t>
      </w:r>
      <w:r>
        <w:rPr>
          <w:rFonts w:hint="eastAsia" w:ascii="宋体" w:hAnsi="宋体"/>
          <w:color w:val="000000" w:themeColor="text1"/>
          <w:szCs w:val="21"/>
          <w14:textFill>
            <w14:solidFill>
              <w14:schemeClr w14:val="tx1"/>
            </w14:solidFill>
          </w14:textFill>
        </w:rPr>
        <w:t>元，扣除发行费用（不含税）</w:t>
      </w:r>
      <w:r>
        <w:rPr>
          <w:rFonts w:ascii="宋体" w:hAnsi="宋体"/>
          <w:color w:val="000000" w:themeColor="text1"/>
          <w:szCs w:val="21"/>
          <w14:textFill>
            <w14:solidFill>
              <w14:schemeClr w14:val="tx1"/>
            </w14:solidFill>
          </w14:textFill>
        </w:rPr>
        <w:t>14,905,660.38</w:t>
      </w:r>
      <w:r>
        <w:rPr>
          <w:rFonts w:hint="eastAsia" w:ascii="宋体" w:hAnsi="宋体"/>
          <w:color w:val="000000" w:themeColor="text1"/>
          <w:szCs w:val="21"/>
          <w14:textFill>
            <w14:solidFill>
              <w14:schemeClr w14:val="tx1"/>
            </w14:solidFill>
          </w14:textFill>
        </w:rPr>
        <w:t>元，募集资金净额</w:t>
      </w:r>
      <w:r>
        <w:rPr>
          <w:rFonts w:ascii="宋体" w:hAnsi="宋体"/>
          <w:color w:val="000000" w:themeColor="text1"/>
          <w:szCs w:val="21"/>
          <w14:textFill>
            <w14:solidFill>
              <w14:schemeClr w14:val="tx1"/>
            </w14:solidFill>
          </w14:textFill>
        </w:rPr>
        <w:t>499,584,139.62</w:t>
      </w:r>
      <w:r>
        <w:rPr>
          <w:rFonts w:hint="eastAsia" w:ascii="宋体" w:hAnsi="宋体"/>
          <w:color w:val="000000" w:themeColor="text1"/>
          <w:szCs w:val="21"/>
          <w14:textFill>
            <w14:solidFill>
              <w14:schemeClr w14:val="tx1"/>
            </w14:solidFill>
          </w14:textFill>
        </w:rPr>
        <w:t>元。</w:t>
      </w:r>
    </w:p>
    <w:p w14:paraId="3BF421A4">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截止</w:t>
      </w:r>
      <w:r>
        <w:rPr>
          <w:rFonts w:ascii="宋体" w:hAnsi="宋体"/>
          <w:color w:val="000000" w:themeColor="text1"/>
          <w:szCs w:val="21"/>
          <w14:textFill>
            <w14:solidFill>
              <w14:schemeClr w14:val="tx1"/>
            </w14:solidFill>
          </w14:textFill>
        </w:rPr>
        <w:t>2021</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6</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21</w:t>
      </w:r>
      <w:r>
        <w:rPr>
          <w:rFonts w:hint="eastAsia" w:ascii="宋体" w:hAnsi="宋体"/>
          <w:color w:val="000000" w:themeColor="text1"/>
          <w:szCs w:val="21"/>
          <w14:textFill>
            <w14:solidFill>
              <w14:schemeClr w14:val="tx1"/>
            </w14:solidFill>
          </w14:textFill>
        </w:rPr>
        <w:t>日，上述募集资金已全部到位，业经大华会计师事务所（特殊普通合伙）以“大华验字[2021]000437号”验资报告验证确认。</w:t>
      </w:r>
    </w:p>
    <w:p w14:paraId="50EB1178">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截止20</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4年12月31日，公司对募集资金项目累计投入</w:t>
      </w:r>
      <w:r>
        <w:rPr>
          <w:rFonts w:ascii="宋体" w:hAnsi="宋体"/>
          <w:color w:val="000000" w:themeColor="text1"/>
          <w:szCs w:val="21"/>
          <w14:textFill>
            <w14:solidFill>
              <w14:schemeClr w14:val="tx1"/>
            </w14:solidFill>
          </w14:textFill>
        </w:rPr>
        <w:t>507</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872</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135.96</w:t>
      </w:r>
      <w:r>
        <w:rPr>
          <w:rFonts w:hint="eastAsia" w:ascii="宋体" w:hAnsi="宋体"/>
          <w:color w:val="000000" w:themeColor="text1"/>
          <w:szCs w:val="21"/>
          <w14:textFill>
            <w14:solidFill>
              <w14:schemeClr w14:val="tx1"/>
            </w14:solidFill>
          </w14:textFill>
        </w:rPr>
        <w:t>元，其中：公司于募集资金到位之前利用自有资金先期投入募集资金项目人民币</w:t>
      </w:r>
      <w:r>
        <w:rPr>
          <w:rFonts w:ascii="宋体" w:hAnsi="宋体"/>
          <w:color w:val="000000" w:themeColor="text1"/>
          <w:szCs w:val="21"/>
          <w14:textFill>
            <w14:solidFill>
              <w14:schemeClr w14:val="tx1"/>
            </w14:solidFill>
          </w14:textFill>
        </w:rPr>
        <w:t>53,166,737.48</w:t>
      </w:r>
      <w:r>
        <w:rPr>
          <w:rFonts w:hint="eastAsia" w:ascii="宋体" w:hAnsi="宋体"/>
          <w:color w:val="000000" w:themeColor="text1"/>
          <w:szCs w:val="21"/>
          <w14:textFill>
            <w14:solidFill>
              <w14:schemeClr w14:val="tx1"/>
            </w14:solidFill>
          </w14:textFill>
        </w:rPr>
        <w:t>元。2</w:t>
      </w:r>
      <w:r>
        <w:rPr>
          <w:rFonts w:ascii="宋体" w:hAnsi="宋体"/>
          <w:color w:val="000000" w:themeColor="text1"/>
          <w:szCs w:val="21"/>
          <w14:textFill>
            <w14:solidFill>
              <w14:schemeClr w14:val="tx1"/>
            </w14:solidFill>
          </w14:textFill>
        </w:rPr>
        <w:t>021</w:t>
      </w:r>
      <w:r>
        <w:rPr>
          <w:rFonts w:hint="eastAsia" w:ascii="宋体" w:hAnsi="宋体"/>
          <w:color w:val="000000" w:themeColor="text1"/>
          <w:szCs w:val="21"/>
          <w14:textFill>
            <w14:solidFill>
              <w14:schemeClr w14:val="tx1"/>
            </w14:solidFill>
          </w14:textFill>
        </w:rPr>
        <w:t>年6月2</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日至2</w:t>
      </w:r>
      <w:r>
        <w:rPr>
          <w:rFonts w:ascii="宋体" w:hAnsi="宋体"/>
          <w:color w:val="000000" w:themeColor="text1"/>
          <w:szCs w:val="21"/>
          <w14:textFill>
            <w14:solidFill>
              <w14:schemeClr w14:val="tx1"/>
            </w14:solidFill>
          </w14:textFill>
        </w:rPr>
        <w:t>02</w:t>
      </w:r>
      <w:r>
        <w:rPr>
          <w:rFonts w:hint="eastAsia" w:ascii="宋体" w:hAnsi="宋体"/>
          <w:color w:val="000000" w:themeColor="text1"/>
          <w:szCs w:val="21"/>
          <w14:textFill>
            <w14:solidFill>
              <w14:schemeClr w14:val="tx1"/>
            </w14:solidFill>
          </w14:textFill>
        </w:rPr>
        <w:t>3年1</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月3</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日止使用募集资金人民币</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8</w:t>
      </w:r>
      <w:r>
        <w:rPr>
          <w:rFonts w:ascii="宋体" w:hAnsi="宋体"/>
          <w:color w:val="000000" w:themeColor="text1"/>
          <w:szCs w:val="21"/>
          <w14:textFill>
            <w14:solidFill>
              <w14:schemeClr w14:val="tx1"/>
            </w14:solidFill>
          </w14:textFill>
        </w:rPr>
        <w:t>0,</w:t>
      </w:r>
      <w:r>
        <w:rPr>
          <w:rFonts w:hint="eastAsia" w:ascii="宋体" w:hAnsi="宋体"/>
          <w:color w:val="000000" w:themeColor="text1"/>
          <w:szCs w:val="21"/>
          <w14:textFill>
            <w14:solidFill>
              <w14:schemeClr w14:val="tx1"/>
            </w14:solidFill>
          </w14:textFill>
        </w:rPr>
        <w:t>194</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892</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2元；本年度使用募集资金人民币127</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677</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243</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24元，其中：永久补充流动资金</w:t>
      </w:r>
      <w:r>
        <w:rPr>
          <w:rFonts w:ascii="宋体" w:hAnsi="宋体"/>
          <w:color w:val="000000" w:themeColor="text1"/>
          <w:szCs w:val="21"/>
          <w14:textFill>
            <w14:solidFill>
              <w14:schemeClr w14:val="tx1"/>
            </w14:solidFill>
          </w14:textFill>
        </w:rPr>
        <w:t>123</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122</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600.85</w:t>
      </w:r>
      <w:r>
        <w:rPr>
          <w:rFonts w:hint="eastAsia" w:ascii="宋体" w:hAnsi="宋体"/>
          <w:color w:val="000000" w:themeColor="text1"/>
          <w:szCs w:val="21"/>
          <w14:textFill>
            <w14:solidFill>
              <w14:schemeClr w14:val="tx1"/>
            </w14:solidFill>
          </w14:textFill>
        </w:rPr>
        <w:t>元；</w:t>
      </w:r>
    </w:p>
    <w:p w14:paraId="4200B91B">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021</w:t>
      </w:r>
      <w:r>
        <w:rPr>
          <w:rFonts w:hint="eastAsia" w:ascii="宋体" w:hAnsi="宋体"/>
          <w:color w:val="000000" w:themeColor="text1"/>
          <w:szCs w:val="21"/>
          <w14:textFill>
            <w14:solidFill>
              <w14:schemeClr w14:val="tx1"/>
            </w14:solidFill>
          </w14:textFill>
        </w:rPr>
        <w:t>年6月2</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日至2</w:t>
      </w:r>
      <w:r>
        <w:rPr>
          <w:rFonts w:ascii="宋体" w:hAnsi="宋体"/>
          <w:color w:val="000000" w:themeColor="text1"/>
          <w:szCs w:val="21"/>
          <w14:textFill>
            <w14:solidFill>
              <w14:schemeClr w14:val="tx1"/>
            </w14:solidFill>
          </w14:textFill>
        </w:rPr>
        <w:t>02</w:t>
      </w:r>
      <w:r>
        <w:rPr>
          <w:rFonts w:hint="eastAsia" w:ascii="宋体" w:hAnsi="宋体"/>
          <w:color w:val="000000" w:themeColor="text1"/>
          <w:szCs w:val="21"/>
          <w14:textFill>
            <w14:solidFill>
              <w14:schemeClr w14:val="tx1"/>
            </w14:solidFill>
          </w14:textFill>
        </w:rPr>
        <w:t>4年1</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月3</w:t>
      </w:r>
      <w:r>
        <w:rPr>
          <w:rFonts w:ascii="宋体" w:hAnsi="宋体"/>
          <w:color w:val="000000" w:themeColor="text1"/>
          <w:szCs w:val="21"/>
          <w14:textFill>
            <w14:solidFill>
              <w14:schemeClr w14:val="tx1"/>
            </w14:solidFill>
          </w14:textFill>
        </w:rPr>
        <w:t>1</w:t>
      </w:r>
      <w:r>
        <w:rPr>
          <w:rFonts w:hint="eastAsia" w:ascii="宋体" w:hAnsi="宋体"/>
          <w:color w:val="000000" w:themeColor="text1"/>
          <w:szCs w:val="21"/>
          <w14:textFill>
            <w14:solidFill>
              <w14:schemeClr w14:val="tx1"/>
            </w14:solidFill>
          </w14:textFill>
        </w:rPr>
        <w:t>日止募集资金累计利息收入扣除银行手续费支出等后的净额8,287,996.34元，截止20</w:t>
      </w:r>
      <w:r>
        <w:rPr>
          <w:rFonts w:ascii="宋体" w:hAnsi="宋体"/>
          <w:color w:val="000000" w:themeColor="text1"/>
          <w:szCs w:val="21"/>
          <w14:textFill>
            <w14:solidFill>
              <w14:schemeClr w14:val="tx1"/>
            </w14:solidFill>
          </w14:textFill>
        </w:rPr>
        <w:t>2</w:t>
      </w:r>
      <w:r>
        <w:rPr>
          <w:rFonts w:hint="eastAsia" w:ascii="宋体" w:hAnsi="宋体"/>
          <w:color w:val="000000" w:themeColor="text1"/>
          <w:szCs w:val="21"/>
          <w14:textFill>
            <w14:solidFill>
              <w14:schemeClr w14:val="tx1"/>
            </w14:solidFill>
          </w14:textFill>
        </w:rPr>
        <w:t>4年12月31日，已全部使用完毕，募集资金专户已注销。</w:t>
      </w:r>
    </w:p>
    <w:p w14:paraId="4B38884C">
      <w:pPr>
        <w:snapToGrid w:val="0"/>
        <w:spacing w:line="360" w:lineRule="auto"/>
        <w:ind w:firstLine="420" w:firstLineChars="200"/>
        <w:rPr>
          <w:rFonts w:hint="eastAsia" w:ascii="宋体" w:hAnsi="宋体"/>
          <w:color w:val="000000" w:themeColor="text1"/>
          <w:szCs w:val="21"/>
          <w14:textFill>
            <w14:solidFill>
              <w14:schemeClr w14:val="tx1"/>
            </w14:solidFill>
          </w14:textFill>
        </w:rPr>
      </w:pPr>
    </w:p>
    <w:p w14:paraId="4B38884D">
      <w:pPr>
        <w:snapToGrid w:val="0"/>
        <w:spacing w:line="360" w:lineRule="auto"/>
        <w:ind w:firstLine="422" w:firstLineChars="200"/>
        <w:rPr>
          <w:rFonts w:hint="eastAsia" w:ascii="宋体" w:hAnsi="宋体" w:cs="宋体"/>
          <w:b/>
          <w:color w:val="000000" w:themeColor="text1"/>
          <w:kern w:val="0"/>
          <w:szCs w:val="21"/>
          <w14:textFill>
            <w14:solidFill>
              <w14:schemeClr w14:val="tx1"/>
            </w14:solidFill>
          </w14:textFill>
        </w:rPr>
      </w:pPr>
      <w:r>
        <w:rPr>
          <w:rFonts w:hint="eastAsia" w:ascii="宋体" w:hAnsi="宋体" w:cs="宋体"/>
          <w:b/>
          <w:color w:val="000000" w:themeColor="text1"/>
          <w:kern w:val="0"/>
          <w:szCs w:val="21"/>
          <w14:textFill>
            <w14:solidFill>
              <w14:schemeClr w14:val="tx1"/>
            </w14:solidFill>
          </w14:textFill>
        </w:rPr>
        <w:t>二、</w:t>
      </w:r>
      <w:r>
        <w:rPr>
          <w:rFonts w:ascii="宋体" w:hAnsi="宋体" w:cs="宋体"/>
          <w:b/>
          <w:color w:val="000000" w:themeColor="text1"/>
          <w:kern w:val="0"/>
          <w:szCs w:val="21"/>
          <w14:textFill>
            <w14:solidFill>
              <w14:schemeClr w14:val="tx1"/>
            </w14:solidFill>
          </w14:textFill>
        </w:rPr>
        <w:t>募集资金的管理情况</w:t>
      </w:r>
    </w:p>
    <w:p w14:paraId="2C732C5D">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为了规范募集资金的管理和使用，保护投资者权益，本公司依照《中华人民共和国公司法》、《中华人民共和国证券法》、《上市公司监管指引第2号——上市公司募集资金管理和使用的监管要求》、《深圳证券交易所股票上市规则》、《深圳证券交易所上市公司自律监管指引第2号——创业板上市公司规范运作》等法律法规，结合公司实际情况，制定了《福建广生堂药业股份有限公司募集资金管理办法》（以下简称“管理办法”），该《管理办法》于2022年 5月13日2021年年度股东大会修订通过。</w:t>
      </w:r>
    </w:p>
    <w:p w14:paraId="76C0B100">
      <w:pPr>
        <w:snapToGrid w:val="0"/>
        <w:spacing w:line="360" w:lineRule="auto"/>
        <w:ind w:firstLine="420" w:firstLineChars="200"/>
        <w:jc w:val="left"/>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根据《管理办法》的要求，并结合公司经营需要，本公司在兴业银行</w:t>
      </w:r>
      <w:r>
        <w:rPr>
          <w:rFonts w:ascii="宋体" w:hAnsi="宋体"/>
          <w:color w:val="000000" w:themeColor="text1"/>
          <w:szCs w:val="21"/>
          <w14:textFill>
            <w14:solidFill>
              <w14:schemeClr w14:val="tx1"/>
            </w14:solidFill>
          </w14:textFill>
        </w:rPr>
        <w:t>开设</w:t>
      </w:r>
      <w:r>
        <w:rPr>
          <w:rFonts w:hint="eastAsia" w:ascii="宋体" w:hAnsi="宋体"/>
          <w:color w:val="000000" w:themeColor="text1"/>
          <w:szCs w:val="21"/>
          <w14:textFill>
            <w14:solidFill>
              <w14:schemeClr w14:val="tx1"/>
            </w14:solidFill>
          </w14:textFill>
        </w:rPr>
        <w:t>募集</w:t>
      </w:r>
      <w:r>
        <w:rPr>
          <w:rFonts w:ascii="宋体" w:hAnsi="宋体"/>
          <w:color w:val="000000" w:themeColor="text1"/>
          <w:szCs w:val="21"/>
          <w14:textFill>
            <w14:solidFill>
              <w14:schemeClr w14:val="tx1"/>
            </w14:solidFill>
          </w14:textFill>
        </w:rPr>
        <w:t>资金</w:t>
      </w:r>
      <w:r>
        <w:rPr>
          <w:rFonts w:hint="eastAsia" w:ascii="宋体" w:hAnsi="宋体"/>
          <w:color w:val="000000" w:themeColor="text1"/>
          <w:szCs w:val="21"/>
          <w14:textFill>
            <w14:solidFill>
              <w14:schemeClr w14:val="tx1"/>
            </w14:solidFill>
          </w14:textFill>
        </w:rPr>
        <w:t>专</w:t>
      </w:r>
      <w:r>
        <w:rPr>
          <w:rFonts w:ascii="宋体" w:hAnsi="宋体"/>
          <w:color w:val="000000" w:themeColor="text1"/>
          <w:szCs w:val="21"/>
          <w14:textFill>
            <w14:solidFill>
              <w14:schemeClr w14:val="tx1"/>
            </w14:solidFill>
          </w14:textFill>
        </w:rPr>
        <w:t>项账户</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并</w:t>
      </w:r>
      <w:r>
        <w:rPr>
          <w:rFonts w:hint="eastAsia" w:ascii="宋体" w:hAnsi="宋体"/>
          <w:color w:val="000000" w:themeColor="text1"/>
          <w:szCs w:val="21"/>
          <w14:textFill>
            <w14:solidFill>
              <w14:schemeClr w14:val="tx1"/>
            </w14:solidFill>
          </w14:textFill>
        </w:rPr>
        <w:t>于</w:t>
      </w:r>
      <w:r>
        <w:rPr>
          <w:rFonts w:ascii="宋体" w:hAnsi="宋体"/>
          <w:color w:val="000000" w:themeColor="text1"/>
          <w:szCs w:val="21"/>
          <w14:textFill>
            <w14:solidFill>
              <w14:schemeClr w14:val="tx1"/>
            </w14:solidFill>
          </w14:textFill>
        </w:rPr>
        <w:t>2021</w:t>
      </w:r>
      <w:r>
        <w:rPr>
          <w:rFonts w:hint="eastAsia" w:ascii="宋体" w:hAnsi="宋体"/>
          <w:color w:val="000000" w:themeColor="text1"/>
          <w:szCs w:val="21"/>
          <w14:textFill>
            <w14:solidFill>
              <w14:schemeClr w14:val="tx1"/>
            </w14:solidFill>
          </w14:textFill>
        </w:rPr>
        <w:t>年</w:t>
      </w:r>
      <w:r>
        <w:rPr>
          <w:rFonts w:ascii="宋体" w:hAnsi="宋体"/>
          <w:color w:val="000000" w:themeColor="text1"/>
          <w:szCs w:val="21"/>
          <w14:textFill>
            <w14:solidFill>
              <w14:schemeClr w14:val="tx1"/>
            </w14:solidFill>
          </w14:textFill>
        </w:rPr>
        <w:t>7</w:t>
      </w:r>
      <w:r>
        <w:rPr>
          <w:rFonts w:hint="eastAsia" w:ascii="宋体" w:hAnsi="宋体"/>
          <w:color w:val="000000" w:themeColor="text1"/>
          <w:szCs w:val="21"/>
          <w14:textFill>
            <w14:solidFill>
              <w14:schemeClr w14:val="tx1"/>
            </w14:solidFill>
          </w14:textFill>
        </w:rPr>
        <w:t>月</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日</w:t>
      </w:r>
      <w:r>
        <w:rPr>
          <w:rFonts w:ascii="宋体" w:hAnsi="宋体"/>
          <w:color w:val="000000" w:themeColor="text1"/>
          <w:szCs w:val="21"/>
          <w14:textFill>
            <w14:solidFill>
              <w14:schemeClr w14:val="tx1"/>
            </w14:solidFill>
          </w14:textFill>
        </w:rPr>
        <w:t>与</w:t>
      </w:r>
      <w:r>
        <w:rPr>
          <w:rFonts w:hint="eastAsia" w:ascii="宋体" w:hAnsi="宋体"/>
          <w:color w:val="000000" w:themeColor="text1"/>
          <w:szCs w:val="21"/>
          <w14:textFill>
            <w14:solidFill>
              <w14:schemeClr w14:val="tx1"/>
            </w14:solidFill>
          </w14:textFill>
        </w:rPr>
        <w:t>中信证券股份有限公司</w:t>
      </w:r>
      <w:r>
        <w:rPr>
          <w:rFonts w:ascii="宋体" w:hAnsi="宋体"/>
          <w:color w:val="000000" w:themeColor="text1"/>
          <w:szCs w:val="21"/>
          <w14:textFill>
            <w14:solidFill>
              <w14:schemeClr w14:val="tx1"/>
            </w14:solidFill>
          </w14:textFill>
        </w:rPr>
        <w:t>、</w:t>
      </w:r>
      <w:r>
        <w:rPr>
          <w:rFonts w:hint="eastAsia" w:ascii="宋体" w:hAnsi="宋体"/>
          <w:color w:val="000000" w:themeColor="text1"/>
          <w:szCs w:val="21"/>
          <w14:textFill>
            <w14:solidFill>
              <w14:schemeClr w14:val="tx1"/>
            </w14:solidFill>
          </w14:textFill>
        </w:rPr>
        <w:t>兴业银行股份有限公司福州环球支行</w:t>
      </w:r>
      <w:r>
        <w:rPr>
          <w:rFonts w:ascii="宋体" w:hAnsi="宋体"/>
          <w:color w:val="000000" w:themeColor="text1"/>
          <w:szCs w:val="21"/>
          <w14:textFill>
            <w14:solidFill>
              <w14:schemeClr w14:val="tx1"/>
            </w14:solidFill>
          </w14:textFill>
        </w:rPr>
        <w:t>签署了</w:t>
      </w:r>
      <w:r>
        <w:rPr>
          <w:rFonts w:hint="eastAsia" w:ascii="宋体" w:hAnsi="宋体"/>
          <w:color w:val="000000" w:themeColor="text1"/>
          <w:szCs w:val="21"/>
          <w14:textFill>
            <w14:solidFill>
              <w14:schemeClr w14:val="tx1"/>
            </w14:solidFill>
          </w14:textFill>
        </w:rPr>
        <w:t>《募集</w:t>
      </w:r>
      <w:r>
        <w:rPr>
          <w:rFonts w:ascii="宋体" w:hAnsi="宋体"/>
          <w:color w:val="000000" w:themeColor="text1"/>
          <w:szCs w:val="21"/>
          <w14:textFill>
            <w14:solidFill>
              <w14:schemeClr w14:val="tx1"/>
            </w14:solidFill>
          </w14:textFill>
        </w:rPr>
        <w:t>资金三方监管协议》</w:t>
      </w:r>
      <w:r>
        <w:rPr>
          <w:rFonts w:hint="eastAsia" w:ascii="宋体" w:hAnsi="宋体"/>
          <w:color w:val="000000" w:themeColor="text1"/>
          <w:szCs w:val="21"/>
          <w14:textFill>
            <w14:solidFill>
              <w14:schemeClr w14:val="tx1"/>
            </w14:solidFill>
          </w14:textFill>
        </w:rPr>
        <w:t>；为保障公司向特定对象发行股票募投项目的顺利实施，基于募投项目实施主体情况及项目建设的实际需要，公司使用部分募集资金对全资子公司福建广生堂金塘药业有限公司（简称“金塘药业”）</w:t>
      </w:r>
      <w:r>
        <w:rPr>
          <w:rFonts w:ascii="宋体" w:hAnsi="宋体"/>
          <w:color w:val="000000" w:themeColor="text1"/>
          <w:szCs w:val="21"/>
          <w14:textFill>
            <w14:solidFill>
              <w14:schemeClr w14:val="tx1"/>
            </w14:solidFill>
          </w14:textFill>
        </w:rPr>
        <w:t>和控股子公司江苏中兴药业有限公司（简称“中兴药业”）进行增资</w:t>
      </w:r>
      <w:r>
        <w:rPr>
          <w:rFonts w:hint="eastAsia" w:ascii="宋体" w:hAnsi="宋体"/>
          <w:color w:val="000000" w:themeColor="text1"/>
          <w:szCs w:val="21"/>
          <w14:textFill>
            <w14:solidFill>
              <w14:schemeClr w14:val="tx1"/>
            </w14:solidFill>
          </w14:textFill>
        </w:rPr>
        <w:t>。金塘药业在招商银行开设募集资金专项账户，并于2</w:t>
      </w:r>
      <w:r>
        <w:rPr>
          <w:rFonts w:ascii="宋体" w:hAnsi="宋体"/>
          <w:color w:val="000000" w:themeColor="text1"/>
          <w:szCs w:val="21"/>
          <w14:textFill>
            <w14:solidFill>
              <w14:schemeClr w14:val="tx1"/>
            </w14:solidFill>
          </w14:textFill>
        </w:rPr>
        <w:t>021</w:t>
      </w:r>
      <w:r>
        <w:rPr>
          <w:rFonts w:hint="eastAsia" w:ascii="宋体" w:hAnsi="宋体"/>
          <w:color w:val="000000" w:themeColor="text1"/>
          <w:szCs w:val="21"/>
          <w14:textFill>
            <w14:solidFill>
              <w14:schemeClr w14:val="tx1"/>
            </w14:solidFill>
          </w14:textFill>
        </w:rPr>
        <w:t>年7月2</w:t>
      </w:r>
      <w:r>
        <w:rPr>
          <w:rFonts w:ascii="宋体" w:hAnsi="宋体"/>
          <w:color w:val="000000" w:themeColor="text1"/>
          <w:szCs w:val="21"/>
          <w14:textFill>
            <w14:solidFill>
              <w14:schemeClr w14:val="tx1"/>
            </w14:solidFill>
          </w14:textFill>
        </w:rPr>
        <w:t>0</w:t>
      </w:r>
      <w:r>
        <w:rPr>
          <w:rFonts w:hint="eastAsia" w:ascii="宋体" w:hAnsi="宋体"/>
          <w:color w:val="000000" w:themeColor="text1"/>
          <w:szCs w:val="21"/>
          <w14:textFill>
            <w14:solidFill>
              <w14:schemeClr w14:val="tx1"/>
            </w14:solidFill>
          </w14:textFill>
        </w:rPr>
        <w:t>日与广生堂、中信证券股份有限公司、招商银行股份有限公司福州分行</w:t>
      </w:r>
      <w:r>
        <w:rPr>
          <w:rFonts w:ascii="宋体" w:hAnsi="宋体"/>
          <w:color w:val="000000" w:themeColor="text1"/>
          <w:szCs w:val="21"/>
          <w14:textFill>
            <w14:solidFill>
              <w14:schemeClr w14:val="tx1"/>
            </w14:solidFill>
          </w14:textFill>
        </w:rPr>
        <w:t>签署了</w:t>
      </w:r>
      <w:r>
        <w:rPr>
          <w:rFonts w:hint="eastAsia" w:ascii="宋体" w:hAnsi="宋体"/>
          <w:color w:val="000000" w:themeColor="text1"/>
          <w:szCs w:val="21"/>
          <w14:textFill>
            <w14:solidFill>
              <w14:schemeClr w14:val="tx1"/>
            </w14:solidFill>
          </w14:textFill>
        </w:rPr>
        <w:t>《募集</w:t>
      </w:r>
      <w:r>
        <w:rPr>
          <w:rFonts w:ascii="宋体" w:hAnsi="宋体"/>
          <w:color w:val="000000" w:themeColor="text1"/>
          <w:szCs w:val="21"/>
          <w14:textFill>
            <w14:solidFill>
              <w14:schemeClr w14:val="tx1"/>
            </w14:solidFill>
          </w14:textFill>
        </w:rPr>
        <w:t>资金</w:t>
      </w:r>
      <w:r>
        <w:rPr>
          <w:rFonts w:hint="eastAsia" w:ascii="宋体" w:hAnsi="宋体"/>
          <w:color w:val="000000" w:themeColor="text1"/>
          <w:szCs w:val="21"/>
          <w14:textFill>
            <w14:solidFill>
              <w14:schemeClr w14:val="tx1"/>
            </w14:solidFill>
          </w14:textFill>
        </w:rPr>
        <w:t>四</w:t>
      </w:r>
      <w:r>
        <w:rPr>
          <w:rFonts w:ascii="宋体" w:hAnsi="宋体"/>
          <w:color w:val="000000" w:themeColor="text1"/>
          <w:szCs w:val="21"/>
          <w14:textFill>
            <w14:solidFill>
              <w14:schemeClr w14:val="tx1"/>
            </w14:solidFill>
          </w14:textFill>
        </w:rPr>
        <w:t>方监管协议》</w:t>
      </w:r>
      <w:r>
        <w:rPr>
          <w:rFonts w:hint="eastAsia" w:ascii="宋体" w:hAnsi="宋体"/>
          <w:color w:val="000000" w:themeColor="text1"/>
          <w:szCs w:val="21"/>
          <w14:textFill>
            <w14:solidFill>
              <w14:schemeClr w14:val="tx1"/>
            </w14:solidFill>
          </w14:textFill>
        </w:rPr>
        <w:t>；</w:t>
      </w:r>
      <w:r>
        <w:rPr>
          <w:color w:val="000000" w:themeColor="text1"/>
          <w14:textFill>
            <w14:solidFill>
              <w14:schemeClr w14:val="tx1"/>
            </w14:solidFill>
          </w14:textFill>
        </w:rPr>
        <w:t>中兴药业</w:t>
      </w:r>
      <w:r>
        <w:rPr>
          <w:rFonts w:hint="eastAsia" w:ascii="宋体" w:hAnsi="宋体"/>
          <w:color w:val="000000" w:themeColor="text1"/>
          <w:szCs w:val="21"/>
          <w14:textFill>
            <w14:solidFill>
              <w14:schemeClr w14:val="tx1"/>
            </w14:solidFill>
          </w14:textFill>
        </w:rPr>
        <w:t>在中国民生银行开设募集资金专项账户，并于2</w:t>
      </w:r>
      <w:r>
        <w:rPr>
          <w:rFonts w:ascii="宋体" w:hAnsi="宋体"/>
          <w:color w:val="000000" w:themeColor="text1"/>
          <w:szCs w:val="21"/>
          <w14:textFill>
            <w14:solidFill>
              <w14:schemeClr w14:val="tx1"/>
            </w14:solidFill>
          </w14:textFill>
        </w:rPr>
        <w:t>021</w:t>
      </w:r>
      <w:r>
        <w:rPr>
          <w:rFonts w:hint="eastAsia" w:ascii="宋体" w:hAnsi="宋体"/>
          <w:color w:val="000000" w:themeColor="text1"/>
          <w:szCs w:val="21"/>
          <w14:textFill>
            <w14:solidFill>
              <w14:schemeClr w14:val="tx1"/>
            </w14:solidFill>
          </w14:textFill>
        </w:rPr>
        <w:t>年7月2</w:t>
      </w:r>
      <w:r>
        <w:rPr>
          <w:rFonts w:ascii="宋体" w:hAnsi="宋体"/>
          <w:color w:val="000000" w:themeColor="text1"/>
          <w:szCs w:val="21"/>
          <w14:textFill>
            <w14:solidFill>
              <w14:schemeClr w14:val="tx1"/>
            </w14:solidFill>
          </w14:textFill>
        </w:rPr>
        <w:t>0</w:t>
      </w:r>
      <w:r>
        <w:rPr>
          <w:rFonts w:hint="eastAsia" w:ascii="宋体" w:hAnsi="宋体"/>
          <w:color w:val="000000" w:themeColor="text1"/>
          <w:szCs w:val="21"/>
          <w14:textFill>
            <w14:solidFill>
              <w14:schemeClr w14:val="tx1"/>
            </w14:solidFill>
          </w14:textFill>
        </w:rPr>
        <w:t>日与广生堂、中信证券股份有限公司、中国民生银行股份有限公司福州分行</w:t>
      </w:r>
      <w:r>
        <w:rPr>
          <w:rFonts w:ascii="宋体" w:hAnsi="宋体"/>
          <w:color w:val="000000" w:themeColor="text1"/>
          <w:szCs w:val="21"/>
          <w14:textFill>
            <w14:solidFill>
              <w14:schemeClr w14:val="tx1"/>
            </w14:solidFill>
          </w14:textFill>
        </w:rPr>
        <w:t>签署了</w:t>
      </w:r>
      <w:r>
        <w:rPr>
          <w:rFonts w:hint="eastAsia" w:ascii="宋体" w:hAnsi="宋体"/>
          <w:color w:val="000000" w:themeColor="text1"/>
          <w:szCs w:val="21"/>
          <w14:textFill>
            <w14:solidFill>
              <w14:schemeClr w14:val="tx1"/>
            </w14:solidFill>
          </w14:textFill>
        </w:rPr>
        <w:t>《募集</w:t>
      </w:r>
      <w:r>
        <w:rPr>
          <w:rFonts w:ascii="宋体" w:hAnsi="宋体"/>
          <w:color w:val="000000" w:themeColor="text1"/>
          <w:szCs w:val="21"/>
          <w14:textFill>
            <w14:solidFill>
              <w14:schemeClr w14:val="tx1"/>
            </w14:solidFill>
          </w14:textFill>
        </w:rPr>
        <w:t>资金</w:t>
      </w:r>
      <w:r>
        <w:rPr>
          <w:rFonts w:hint="eastAsia" w:ascii="宋体" w:hAnsi="宋体"/>
          <w:color w:val="000000" w:themeColor="text1"/>
          <w:szCs w:val="21"/>
          <w14:textFill>
            <w14:solidFill>
              <w14:schemeClr w14:val="tx1"/>
            </w14:solidFill>
          </w14:textFill>
        </w:rPr>
        <w:t>四</w:t>
      </w:r>
      <w:r>
        <w:rPr>
          <w:rFonts w:ascii="宋体" w:hAnsi="宋体"/>
          <w:color w:val="000000" w:themeColor="text1"/>
          <w:szCs w:val="21"/>
          <w14:textFill>
            <w14:solidFill>
              <w14:schemeClr w14:val="tx1"/>
            </w14:solidFill>
          </w14:textFill>
        </w:rPr>
        <w:t>方监管协议》</w:t>
      </w:r>
      <w:r>
        <w:rPr>
          <w:rFonts w:hint="eastAsia" w:ascii="宋体" w:hAnsi="宋体"/>
          <w:color w:val="000000" w:themeColor="text1"/>
          <w:szCs w:val="21"/>
          <w14:textFill>
            <w14:solidFill>
              <w14:schemeClr w14:val="tx1"/>
            </w14:solidFill>
          </w14:textFill>
        </w:rPr>
        <w:t>；对募集资金的使用实行严格的审批手续，以保证专款专用；授权保荐代表人可以随时到开设募集资金专户的银行查询募集资金专户资料，并要求保荐代表人每季度对募集资金管理和使用情况至少进行现场调查一次。</w:t>
      </w:r>
    </w:p>
    <w:p w14:paraId="4B388853">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协议相关签署时间如下：</w:t>
      </w:r>
    </w:p>
    <w:tbl>
      <w:tblPr>
        <w:tblStyle w:val="13"/>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3910"/>
        <w:gridCol w:w="2451"/>
        <w:gridCol w:w="2168"/>
      </w:tblGrid>
      <w:tr w14:paraId="3AD22B9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blHeader/>
        </w:trPr>
        <w:tc>
          <w:tcPr>
            <w:tcW w:w="2292" w:type="pct"/>
            <w:vAlign w:val="center"/>
          </w:tcPr>
          <w:p w14:paraId="1B14D513">
            <w:pPr>
              <w:snapToGrid w:val="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银行名称</w:t>
            </w:r>
          </w:p>
        </w:tc>
        <w:tc>
          <w:tcPr>
            <w:tcW w:w="1437" w:type="pct"/>
            <w:vAlign w:val="center"/>
          </w:tcPr>
          <w:p w14:paraId="093EFAB8">
            <w:pPr>
              <w:snapToGrid w:val="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账号</w:t>
            </w:r>
          </w:p>
        </w:tc>
        <w:tc>
          <w:tcPr>
            <w:tcW w:w="1271" w:type="pct"/>
            <w:vAlign w:val="center"/>
          </w:tcPr>
          <w:p w14:paraId="50251CE4">
            <w:pPr>
              <w:snapToGrid w:val="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协议签署日期</w:t>
            </w:r>
          </w:p>
        </w:tc>
      </w:tr>
      <w:tr w14:paraId="67A9A23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292" w:type="pct"/>
            <w:vAlign w:val="center"/>
          </w:tcPr>
          <w:p w14:paraId="2BDE6A97">
            <w:pPr>
              <w:snapToGrid w:val="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兴业银行股份有限公司福州环球支行</w:t>
            </w:r>
          </w:p>
        </w:tc>
        <w:tc>
          <w:tcPr>
            <w:tcW w:w="1437" w:type="pct"/>
            <w:vAlign w:val="center"/>
          </w:tcPr>
          <w:p w14:paraId="0EABE193">
            <w:pPr>
              <w:snapToGrid w:val="0"/>
              <w:ind w:right="105" w:rightChars="5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118110100100257142</w:t>
            </w:r>
          </w:p>
        </w:tc>
        <w:tc>
          <w:tcPr>
            <w:tcW w:w="1271" w:type="pct"/>
            <w:vAlign w:val="center"/>
          </w:tcPr>
          <w:p w14:paraId="72F97926">
            <w:pPr>
              <w:snapToGrid w:val="0"/>
              <w:ind w:right="105" w:rightChars="5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2021年7月5日</w:t>
            </w:r>
          </w:p>
        </w:tc>
      </w:tr>
      <w:tr w14:paraId="7063ADA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292" w:type="pct"/>
            <w:vAlign w:val="center"/>
          </w:tcPr>
          <w:p w14:paraId="71C0D1BF">
            <w:pPr>
              <w:snapToGrid w:val="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招商银行股份有限公司福州分行</w:t>
            </w:r>
          </w:p>
        </w:tc>
        <w:tc>
          <w:tcPr>
            <w:tcW w:w="1437" w:type="pct"/>
            <w:vAlign w:val="center"/>
          </w:tcPr>
          <w:p w14:paraId="0D3B8E51">
            <w:pPr>
              <w:snapToGrid w:val="0"/>
              <w:ind w:right="105" w:rightChars="5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591907429610301</w:t>
            </w:r>
          </w:p>
        </w:tc>
        <w:tc>
          <w:tcPr>
            <w:tcW w:w="1271" w:type="pct"/>
            <w:vAlign w:val="center"/>
          </w:tcPr>
          <w:p w14:paraId="40CF6BB4">
            <w:pPr>
              <w:snapToGrid w:val="0"/>
              <w:ind w:right="105" w:rightChars="5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2021年7月20日</w:t>
            </w:r>
          </w:p>
        </w:tc>
      </w:tr>
      <w:tr w14:paraId="4541A6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292" w:type="pct"/>
            <w:vAlign w:val="center"/>
          </w:tcPr>
          <w:p w14:paraId="3B09FAFF">
            <w:pPr>
              <w:snapToGrid w:val="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中国民生银行股份有限公司福州分行</w:t>
            </w:r>
          </w:p>
        </w:tc>
        <w:tc>
          <w:tcPr>
            <w:tcW w:w="1437" w:type="pct"/>
            <w:vAlign w:val="center"/>
          </w:tcPr>
          <w:p w14:paraId="08EED0F2">
            <w:pPr>
              <w:snapToGrid w:val="0"/>
              <w:ind w:right="105" w:rightChars="5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632533893</w:t>
            </w:r>
          </w:p>
        </w:tc>
        <w:tc>
          <w:tcPr>
            <w:tcW w:w="1271" w:type="pct"/>
            <w:vAlign w:val="center"/>
          </w:tcPr>
          <w:p w14:paraId="4CD29241">
            <w:pPr>
              <w:snapToGrid w:val="0"/>
              <w:ind w:right="105" w:rightChars="5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2021年7月20日</w:t>
            </w:r>
          </w:p>
        </w:tc>
      </w:tr>
    </w:tbl>
    <w:p w14:paraId="1D8686AB">
      <w:pPr>
        <w:snapToGrid w:val="0"/>
        <w:spacing w:line="360" w:lineRule="auto"/>
        <w:ind w:firstLine="420" w:firstLineChars="200"/>
        <w:rPr>
          <w:rFonts w:hint="eastAsia" w:ascii="宋体" w:hAnsi="宋体"/>
          <w:color w:val="000000" w:themeColor="text1"/>
          <w:szCs w:val="21"/>
          <w14:textFill>
            <w14:solidFill>
              <w14:schemeClr w14:val="tx1"/>
            </w14:solidFill>
          </w14:textFill>
        </w:rPr>
      </w:pPr>
    </w:p>
    <w:p w14:paraId="174E1E16">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根据本公司（包括金塘药业、中兴药业）与中信证券股份有限公司签订的《保荐协议》、前述协议及管理制度，公司管理制度修订前单次或十二个月内累计从募集资金存款户中支取的金额达到人民币 1,000万元或募集资金净额的 10%的（以孰低为准），管理制度修订后单次或十二个月内累计从募集资金存款户中支取的金额达到人民币</w:t>
      </w:r>
      <w:r>
        <w:rPr>
          <w:rFonts w:ascii="宋体" w:hAnsi="宋体"/>
          <w:color w:val="000000" w:themeColor="text1"/>
          <w:szCs w:val="21"/>
          <w14:textFill>
            <w14:solidFill>
              <w14:schemeClr w14:val="tx1"/>
            </w14:solidFill>
          </w14:textFill>
        </w:rPr>
        <w:t>5,000</w:t>
      </w:r>
      <w:r>
        <w:rPr>
          <w:rFonts w:hint="eastAsia" w:ascii="宋体" w:hAnsi="宋体"/>
          <w:color w:val="000000" w:themeColor="text1"/>
          <w:szCs w:val="21"/>
          <w14:textFill>
            <w14:solidFill>
              <w14:schemeClr w14:val="tx1"/>
            </w14:solidFill>
          </w14:textFill>
        </w:rPr>
        <w:t>万元或募集资金净额的</w:t>
      </w:r>
      <w:r>
        <w:rPr>
          <w:rFonts w:ascii="宋体" w:hAnsi="宋体"/>
          <w:color w:val="000000" w:themeColor="text1"/>
          <w:szCs w:val="21"/>
          <w14:textFill>
            <w14:solidFill>
              <w14:schemeClr w14:val="tx1"/>
            </w14:solidFill>
          </w14:textFill>
        </w:rPr>
        <w:t>20%</w:t>
      </w:r>
      <w:r>
        <w:rPr>
          <w:rFonts w:hint="eastAsia" w:ascii="宋体" w:hAnsi="宋体"/>
          <w:color w:val="000000" w:themeColor="text1"/>
          <w:szCs w:val="21"/>
          <w14:textFill>
            <w14:solidFill>
              <w14:schemeClr w14:val="tx1"/>
            </w14:solidFill>
          </w14:textFill>
        </w:rPr>
        <w:t>的（以孰低为准），公司应当及时通知中信证券股份有限公司。监管协议与深圳证券交易所监管协议范本不存在重大差异，监管协议得到了切实履行。</w:t>
      </w:r>
    </w:p>
    <w:p w14:paraId="2AE4F26F">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w:t>
      </w:r>
      <w:r>
        <w:rPr>
          <w:rFonts w:ascii="宋体" w:hAnsi="宋体"/>
          <w:color w:val="000000" w:themeColor="text1"/>
          <w:szCs w:val="21"/>
          <w14:textFill>
            <w14:solidFill>
              <w14:schemeClr w14:val="tx1"/>
            </w14:solidFill>
          </w14:textFill>
        </w:rPr>
        <w:t>023</w:t>
      </w:r>
      <w:r>
        <w:rPr>
          <w:rFonts w:hint="eastAsia" w:ascii="宋体" w:hAnsi="宋体"/>
          <w:color w:val="000000" w:themeColor="text1"/>
          <w:szCs w:val="21"/>
          <w14:textFill>
            <w14:solidFill>
              <w14:schemeClr w14:val="tx1"/>
            </w14:solidFill>
          </w14:textFill>
        </w:rPr>
        <w:t>年3月1日，</w:t>
      </w:r>
      <w:r>
        <w:rPr>
          <w:rFonts w:ascii="宋体" w:hAnsi="宋体"/>
          <w:color w:val="000000" w:themeColor="text1"/>
          <w:szCs w:val="21"/>
          <w14:textFill>
            <w14:solidFill>
              <w14:schemeClr w14:val="tx1"/>
            </w14:solidFill>
          </w14:textFill>
        </w:rPr>
        <w:t>鉴于公司保荐机构已发生更换，公司及子公司金塘药业和中兴药业与兴业证券以及募集资金存储银行兴业银行股份有限公司福州环球支行、招商银行股份有限公司福州分行及中国民生银行股份有限公司福州分行分别重新签署了《募集资金三方监管协议》、《募集资金四方监管协议》</w:t>
      </w:r>
      <w:r>
        <w:rPr>
          <w:rFonts w:hint="eastAsia" w:ascii="宋体" w:hAnsi="宋体"/>
          <w:color w:val="000000" w:themeColor="text1"/>
          <w:szCs w:val="21"/>
          <w14:textFill>
            <w14:solidFill>
              <w14:schemeClr w14:val="tx1"/>
            </w14:solidFill>
          </w14:textFill>
        </w:rPr>
        <w:t>，相关签署时间如下</w:t>
      </w:r>
      <w:r>
        <w:rPr>
          <w:rFonts w:ascii="宋体" w:hAnsi="宋体"/>
          <w:color w:val="000000" w:themeColor="text1"/>
          <w:szCs w:val="21"/>
          <w14:textFill>
            <w14:solidFill>
              <w14:schemeClr w14:val="tx1"/>
            </w14:solidFill>
          </w14:textFill>
        </w:rPr>
        <w:t>：</w:t>
      </w:r>
    </w:p>
    <w:tbl>
      <w:tblPr>
        <w:tblStyle w:val="13"/>
        <w:tblW w:w="5000" w:type="pct"/>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autofit"/>
        <w:tblCellMar>
          <w:top w:w="0" w:type="dxa"/>
          <w:left w:w="108" w:type="dxa"/>
          <w:bottom w:w="0" w:type="dxa"/>
          <w:right w:w="108" w:type="dxa"/>
        </w:tblCellMar>
      </w:tblPr>
      <w:tblGrid>
        <w:gridCol w:w="3778"/>
        <w:gridCol w:w="2438"/>
        <w:gridCol w:w="2313"/>
      </w:tblGrid>
      <w:tr w14:paraId="6338788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blHeader/>
        </w:trPr>
        <w:tc>
          <w:tcPr>
            <w:tcW w:w="2215" w:type="pct"/>
            <w:vAlign w:val="center"/>
          </w:tcPr>
          <w:p w14:paraId="2C3547E5">
            <w:pPr>
              <w:snapToGrid w:val="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银行名称</w:t>
            </w:r>
          </w:p>
        </w:tc>
        <w:tc>
          <w:tcPr>
            <w:tcW w:w="1429" w:type="pct"/>
            <w:vAlign w:val="center"/>
          </w:tcPr>
          <w:p w14:paraId="1313DF2E">
            <w:pPr>
              <w:snapToGrid w:val="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账号</w:t>
            </w:r>
          </w:p>
        </w:tc>
        <w:tc>
          <w:tcPr>
            <w:tcW w:w="1356" w:type="pct"/>
            <w:vAlign w:val="center"/>
          </w:tcPr>
          <w:p w14:paraId="7C65AA05">
            <w:pPr>
              <w:snapToGrid w:val="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协议签署日期</w:t>
            </w:r>
          </w:p>
        </w:tc>
      </w:tr>
      <w:tr w14:paraId="4F1B9FEB">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215" w:type="pct"/>
            <w:vAlign w:val="center"/>
          </w:tcPr>
          <w:p w14:paraId="0873BBEB">
            <w:pPr>
              <w:snapToGrid w:val="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兴业银行股份有限公司福州环球支行</w:t>
            </w:r>
          </w:p>
        </w:tc>
        <w:tc>
          <w:tcPr>
            <w:tcW w:w="1429" w:type="pct"/>
            <w:vAlign w:val="center"/>
          </w:tcPr>
          <w:p w14:paraId="5AFCCBAF">
            <w:pPr>
              <w:snapToGrid w:val="0"/>
              <w:ind w:right="105" w:rightChars="5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118110100100257142</w:t>
            </w:r>
          </w:p>
        </w:tc>
        <w:tc>
          <w:tcPr>
            <w:tcW w:w="1356" w:type="pct"/>
            <w:vAlign w:val="center"/>
          </w:tcPr>
          <w:p w14:paraId="2F1EE3F3">
            <w:pPr>
              <w:snapToGrid w:val="0"/>
              <w:ind w:right="105" w:rightChars="5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2023年3月1日</w:t>
            </w:r>
          </w:p>
        </w:tc>
      </w:tr>
      <w:tr w14:paraId="3AF580F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215" w:type="pct"/>
            <w:vAlign w:val="center"/>
          </w:tcPr>
          <w:p w14:paraId="71D2CE83">
            <w:pPr>
              <w:snapToGrid w:val="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招商银行股份有限公司福州分行</w:t>
            </w:r>
          </w:p>
        </w:tc>
        <w:tc>
          <w:tcPr>
            <w:tcW w:w="1429" w:type="pct"/>
            <w:vAlign w:val="center"/>
          </w:tcPr>
          <w:p w14:paraId="3F49771E">
            <w:pPr>
              <w:snapToGrid w:val="0"/>
              <w:ind w:right="105" w:rightChars="5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591907429610301</w:t>
            </w:r>
          </w:p>
        </w:tc>
        <w:tc>
          <w:tcPr>
            <w:tcW w:w="1356" w:type="pct"/>
            <w:vAlign w:val="center"/>
          </w:tcPr>
          <w:p w14:paraId="006B99BC">
            <w:pPr>
              <w:snapToGrid w:val="0"/>
              <w:ind w:right="105" w:rightChars="5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2023年3月1日</w:t>
            </w:r>
          </w:p>
        </w:tc>
      </w:tr>
      <w:tr w14:paraId="30F598A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454" w:hRule="atLeast"/>
        </w:trPr>
        <w:tc>
          <w:tcPr>
            <w:tcW w:w="2215" w:type="pct"/>
            <w:vAlign w:val="center"/>
          </w:tcPr>
          <w:p w14:paraId="77622C85">
            <w:pPr>
              <w:snapToGrid w:val="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中国民生银行股份有限公司福州分行</w:t>
            </w:r>
          </w:p>
        </w:tc>
        <w:tc>
          <w:tcPr>
            <w:tcW w:w="1429" w:type="pct"/>
            <w:vAlign w:val="center"/>
          </w:tcPr>
          <w:p w14:paraId="0C52E1FB">
            <w:pPr>
              <w:snapToGrid w:val="0"/>
              <w:ind w:right="105" w:rightChars="50"/>
              <w:jc w:val="left"/>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632533893</w:t>
            </w:r>
          </w:p>
        </w:tc>
        <w:tc>
          <w:tcPr>
            <w:tcW w:w="1356" w:type="pct"/>
            <w:vAlign w:val="center"/>
          </w:tcPr>
          <w:p w14:paraId="62B410CE">
            <w:pPr>
              <w:snapToGrid w:val="0"/>
              <w:ind w:right="105" w:rightChars="50"/>
              <w:jc w:val="center"/>
              <w:rPr>
                <w:rFonts w:hint="eastAsia" w:ascii="宋体" w:hAnsi="宋体"/>
                <w:color w:val="000000" w:themeColor="text1"/>
                <w:kern w:val="0"/>
                <w:sz w:val="18"/>
                <w:szCs w:val="18"/>
                <w14:textFill>
                  <w14:solidFill>
                    <w14:schemeClr w14:val="tx1"/>
                  </w14:solidFill>
                </w14:textFill>
              </w:rPr>
            </w:pPr>
            <w:r>
              <w:rPr>
                <w:rFonts w:ascii="宋体" w:hAnsi="宋体"/>
                <w:color w:val="000000" w:themeColor="text1"/>
                <w:kern w:val="0"/>
                <w:sz w:val="18"/>
                <w:szCs w:val="18"/>
                <w14:textFill>
                  <w14:solidFill>
                    <w14:schemeClr w14:val="tx1"/>
                  </w14:solidFill>
                </w14:textFill>
              </w:rPr>
              <w:t>2023年3月1日</w:t>
            </w:r>
          </w:p>
        </w:tc>
      </w:tr>
    </w:tbl>
    <w:p w14:paraId="0EF05B2D">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2023年12月29日，公司召开第四届董事会第二十七次会议和第四届监事会第二十四次会议，审议通过了《关于终止部分募集资金投资项目并将剩余募集资金永久补充流动资金的议案》，</w:t>
      </w:r>
      <w:r>
        <w:rPr>
          <w:rFonts w:hint="eastAsia"/>
        </w:rPr>
        <w:t>剩余的募集资金8,543.49万元（最终金额以资金转出当日银行结息金额为准）永久补充流动资金</w:t>
      </w:r>
      <w:r>
        <w:rPr>
          <w:rFonts w:hint="eastAsia" w:ascii="宋体" w:hAnsi="宋体"/>
          <w:color w:val="000000" w:themeColor="text1"/>
          <w:szCs w:val="21"/>
          <w14:textFill>
            <w14:solidFill>
              <w14:schemeClr w14:val="tx1"/>
            </w14:solidFill>
          </w14:textFill>
        </w:rPr>
        <w:t>。资金划转完成后，相关募集资金专户已于2024年5月进行销户处理。2024年7月30日，公司召开第五届董事会第二次会议和第五届监事会第二次会议，审议通过了《关于部分募投项目结项并将节余募集资金永久补充流动资金的议案》，节余募集资金共计 3,844.45 万元（包括利息收入，实际金额以资金转出当日专户余额为准）永久性补充流动资金，资金划转完成后，相关募集资金专户已于2024年9月进行销户处理，对应的</w:t>
      </w:r>
      <w:r>
        <w:rPr>
          <w:rFonts w:ascii="宋体" w:hAnsi="宋体"/>
          <w:color w:val="000000" w:themeColor="text1"/>
          <w:szCs w:val="21"/>
          <w14:textFill>
            <w14:solidFill>
              <w14:schemeClr w14:val="tx1"/>
            </w14:solidFill>
          </w14:textFill>
        </w:rPr>
        <w:t>《募集资金三方监管协议》、</w:t>
      </w:r>
      <w:r>
        <w:rPr>
          <w:rFonts w:hint="eastAsia" w:ascii="宋体" w:hAnsi="宋体"/>
          <w:color w:val="000000" w:themeColor="text1"/>
          <w:szCs w:val="21"/>
          <w14:textFill>
            <w14:solidFill>
              <w14:schemeClr w14:val="tx1"/>
            </w14:solidFill>
          </w14:textFill>
        </w:rPr>
        <w:t>《募集资金四方监管协议》亦随之终止。</w:t>
      </w:r>
    </w:p>
    <w:p w14:paraId="272DB06B">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截至2024年12月31日止，募集资金的存储情况列示如下：</w:t>
      </w:r>
    </w:p>
    <w:p w14:paraId="47657A62">
      <w:pPr>
        <w:snapToGrid w:val="0"/>
        <w:ind w:firstLine="6195" w:firstLineChars="295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金额单位：人民币元</w:t>
      </w:r>
    </w:p>
    <w:tbl>
      <w:tblPr>
        <w:tblStyle w:val="13"/>
        <w:tblW w:w="8364" w:type="dxa"/>
        <w:tblInd w:w="-142"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108" w:type="dxa"/>
          <w:bottom w:w="0" w:type="dxa"/>
          <w:right w:w="108" w:type="dxa"/>
        </w:tblCellMar>
      </w:tblPr>
      <w:tblGrid>
        <w:gridCol w:w="1843"/>
        <w:gridCol w:w="1985"/>
        <w:gridCol w:w="1701"/>
        <w:gridCol w:w="1276"/>
        <w:gridCol w:w="1559"/>
      </w:tblGrid>
      <w:tr w14:paraId="6390925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blHeader/>
        </w:trPr>
        <w:tc>
          <w:tcPr>
            <w:tcW w:w="1843" w:type="dxa"/>
            <w:vAlign w:val="center"/>
          </w:tcPr>
          <w:p w14:paraId="4B934A79">
            <w:pPr>
              <w:snapToGrid w:val="0"/>
              <w:jc w:val="center"/>
              <w:rPr>
                <w:rFonts w:asci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银行名称</w:t>
            </w:r>
          </w:p>
        </w:tc>
        <w:tc>
          <w:tcPr>
            <w:tcW w:w="1985" w:type="dxa"/>
            <w:vAlign w:val="center"/>
          </w:tcPr>
          <w:p w14:paraId="6C9CD314">
            <w:pPr>
              <w:snapToGrid w:val="0"/>
              <w:jc w:val="center"/>
              <w:rPr>
                <w:rFonts w:asci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账号</w:t>
            </w:r>
          </w:p>
        </w:tc>
        <w:tc>
          <w:tcPr>
            <w:tcW w:w="1701" w:type="dxa"/>
            <w:vAlign w:val="center"/>
          </w:tcPr>
          <w:p w14:paraId="575A9F46">
            <w:pPr>
              <w:snapToGrid w:val="0"/>
              <w:jc w:val="center"/>
              <w:rPr>
                <w:rFonts w:asci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初时存放金额</w:t>
            </w:r>
          </w:p>
        </w:tc>
        <w:tc>
          <w:tcPr>
            <w:tcW w:w="1276" w:type="dxa"/>
            <w:vAlign w:val="center"/>
          </w:tcPr>
          <w:p w14:paraId="4A9D27C1">
            <w:pPr>
              <w:snapToGrid w:val="0"/>
              <w:jc w:val="center"/>
              <w:rPr>
                <w:rFonts w:asci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截止日余额</w:t>
            </w:r>
          </w:p>
        </w:tc>
        <w:tc>
          <w:tcPr>
            <w:tcW w:w="1559" w:type="dxa"/>
            <w:vAlign w:val="center"/>
          </w:tcPr>
          <w:p w14:paraId="0A0B0377">
            <w:pPr>
              <w:snapToGrid w:val="0"/>
              <w:jc w:val="center"/>
              <w:rPr>
                <w:rFonts w:asci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备注</w:t>
            </w:r>
          </w:p>
        </w:tc>
      </w:tr>
      <w:tr w14:paraId="0751156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1843" w:type="dxa"/>
            <w:vAlign w:val="center"/>
          </w:tcPr>
          <w:p w14:paraId="3C4C0B72">
            <w:pPr>
              <w:snapToGrid w:val="0"/>
              <w:jc w:val="lef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兴业银行股份有限公司福州环球支行</w:t>
            </w:r>
          </w:p>
        </w:tc>
        <w:tc>
          <w:tcPr>
            <w:tcW w:w="1985" w:type="dxa"/>
            <w:vAlign w:val="center"/>
          </w:tcPr>
          <w:p w14:paraId="4C5FF273">
            <w:pPr>
              <w:snapToGrid w:val="0"/>
              <w:jc w:val="left"/>
              <w:rPr>
                <w:rFonts w:ascii="宋体"/>
                <w:color w:val="000000" w:themeColor="text1"/>
                <w:kern w:val="0"/>
                <w:sz w:val="18"/>
                <w:szCs w:val="18"/>
                <w14:textFill>
                  <w14:solidFill>
                    <w14:schemeClr w14:val="tx1"/>
                  </w14:solidFill>
                </w14:textFill>
              </w:rPr>
            </w:pPr>
            <w:r>
              <w:rPr>
                <w:rFonts w:ascii="宋体"/>
                <w:color w:val="000000" w:themeColor="text1"/>
                <w:kern w:val="0"/>
                <w:sz w:val="18"/>
                <w:szCs w:val="18"/>
                <w14:textFill>
                  <w14:solidFill>
                    <w14:schemeClr w14:val="tx1"/>
                  </w14:solidFill>
                </w14:textFill>
              </w:rPr>
              <w:t>118110100100257142</w:t>
            </w:r>
          </w:p>
        </w:tc>
        <w:tc>
          <w:tcPr>
            <w:tcW w:w="1701" w:type="dxa"/>
            <w:vAlign w:val="center"/>
          </w:tcPr>
          <w:p w14:paraId="17E4FE0C">
            <w:pPr>
              <w:snapToGrid w:val="0"/>
              <w:ind w:right="105" w:rightChars="50"/>
              <w:jc w:val="right"/>
              <w:rPr>
                <w:rFonts w:ascii="宋体"/>
                <w:color w:val="000000" w:themeColor="text1"/>
                <w:kern w:val="0"/>
                <w:sz w:val="18"/>
                <w:szCs w:val="18"/>
                <w14:textFill>
                  <w14:solidFill>
                    <w14:schemeClr w14:val="tx1"/>
                  </w14:solidFill>
                </w14:textFill>
              </w:rPr>
            </w:pPr>
            <w:r>
              <w:rPr>
                <w:rFonts w:ascii="宋体"/>
                <w:color w:val="000000" w:themeColor="text1"/>
                <w:kern w:val="0"/>
                <w:sz w:val="18"/>
                <w:szCs w:val="18"/>
                <w14:textFill>
                  <w14:solidFill>
                    <w14:schemeClr w14:val="tx1"/>
                  </w14:solidFill>
                </w14:textFill>
              </w:rPr>
              <w:t>503,889,800.00</w:t>
            </w:r>
          </w:p>
        </w:tc>
        <w:tc>
          <w:tcPr>
            <w:tcW w:w="1276" w:type="dxa"/>
            <w:vAlign w:val="center"/>
          </w:tcPr>
          <w:p w14:paraId="46F2C4C9">
            <w:pPr>
              <w:snapToGrid w:val="0"/>
              <w:ind w:right="105" w:rightChars="50"/>
              <w:jc w:val="righ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w:t>
            </w:r>
          </w:p>
        </w:tc>
        <w:tc>
          <w:tcPr>
            <w:tcW w:w="1559" w:type="dxa"/>
            <w:vAlign w:val="center"/>
          </w:tcPr>
          <w:p w14:paraId="6A743639">
            <w:pPr>
              <w:snapToGrid w:val="0"/>
              <w:jc w:val="center"/>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2024年9月销户</w:t>
            </w:r>
          </w:p>
        </w:tc>
      </w:tr>
      <w:tr w14:paraId="3FF72EF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1843" w:type="dxa"/>
            <w:vAlign w:val="center"/>
          </w:tcPr>
          <w:p w14:paraId="4CAFE5F1">
            <w:pPr>
              <w:snapToGrid w:val="0"/>
              <w:jc w:val="lef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招商银行股份有限公司福州分行</w:t>
            </w:r>
          </w:p>
        </w:tc>
        <w:tc>
          <w:tcPr>
            <w:tcW w:w="1985" w:type="dxa"/>
            <w:vAlign w:val="center"/>
          </w:tcPr>
          <w:p w14:paraId="1315253F">
            <w:pPr>
              <w:snapToGrid w:val="0"/>
              <w:jc w:val="left"/>
              <w:rPr>
                <w:rFonts w:ascii="宋体"/>
                <w:color w:val="000000" w:themeColor="text1"/>
                <w:kern w:val="0"/>
                <w:sz w:val="18"/>
                <w:szCs w:val="18"/>
                <w14:textFill>
                  <w14:solidFill>
                    <w14:schemeClr w14:val="tx1"/>
                  </w14:solidFill>
                </w14:textFill>
              </w:rPr>
            </w:pPr>
            <w:r>
              <w:rPr>
                <w:rFonts w:ascii="宋体"/>
                <w:color w:val="000000" w:themeColor="text1"/>
                <w:kern w:val="0"/>
                <w:sz w:val="18"/>
                <w:szCs w:val="18"/>
                <w14:textFill>
                  <w14:solidFill>
                    <w14:schemeClr w14:val="tx1"/>
                  </w14:solidFill>
                </w14:textFill>
              </w:rPr>
              <w:t>591907429610301</w:t>
            </w:r>
          </w:p>
        </w:tc>
        <w:tc>
          <w:tcPr>
            <w:tcW w:w="1701" w:type="dxa"/>
            <w:vAlign w:val="center"/>
          </w:tcPr>
          <w:p w14:paraId="2D429B6F">
            <w:pPr>
              <w:snapToGrid w:val="0"/>
              <w:ind w:right="105" w:rightChars="50"/>
              <w:jc w:val="right"/>
              <w:rPr>
                <w:rFonts w:ascii="宋体"/>
                <w:color w:val="000000" w:themeColor="text1"/>
                <w:kern w:val="0"/>
                <w:sz w:val="18"/>
                <w:szCs w:val="18"/>
                <w14:textFill>
                  <w14:solidFill>
                    <w14:schemeClr w14:val="tx1"/>
                  </w14:solidFill>
                </w14:textFill>
              </w:rPr>
            </w:pPr>
          </w:p>
        </w:tc>
        <w:tc>
          <w:tcPr>
            <w:tcW w:w="1276" w:type="dxa"/>
            <w:vAlign w:val="center"/>
          </w:tcPr>
          <w:p w14:paraId="6F51B7FB">
            <w:pPr>
              <w:snapToGrid w:val="0"/>
              <w:ind w:right="105" w:rightChars="50"/>
              <w:jc w:val="righ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w:t>
            </w:r>
          </w:p>
        </w:tc>
        <w:tc>
          <w:tcPr>
            <w:tcW w:w="1559" w:type="dxa"/>
            <w:vAlign w:val="center"/>
          </w:tcPr>
          <w:p w14:paraId="2D0BFD0A">
            <w:pPr>
              <w:snapToGrid w:val="0"/>
              <w:jc w:val="center"/>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2024年9月销户</w:t>
            </w:r>
          </w:p>
        </w:tc>
      </w:tr>
      <w:tr w14:paraId="44C4AE0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1843" w:type="dxa"/>
            <w:vAlign w:val="center"/>
          </w:tcPr>
          <w:p w14:paraId="08D28F42">
            <w:pPr>
              <w:snapToGrid w:val="0"/>
              <w:jc w:val="lef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中国民生银行股份有限公司福州分行</w:t>
            </w:r>
          </w:p>
        </w:tc>
        <w:tc>
          <w:tcPr>
            <w:tcW w:w="1985" w:type="dxa"/>
            <w:vAlign w:val="center"/>
          </w:tcPr>
          <w:p w14:paraId="10CE874F">
            <w:pPr>
              <w:snapToGrid w:val="0"/>
              <w:jc w:val="left"/>
              <w:rPr>
                <w:rFonts w:ascii="宋体"/>
                <w:color w:val="000000" w:themeColor="text1"/>
                <w:kern w:val="0"/>
                <w:sz w:val="18"/>
                <w:szCs w:val="18"/>
                <w14:textFill>
                  <w14:solidFill>
                    <w14:schemeClr w14:val="tx1"/>
                  </w14:solidFill>
                </w14:textFill>
              </w:rPr>
            </w:pPr>
            <w:r>
              <w:rPr>
                <w:rFonts w:ascii="宋体"/>
                <w:color w:val="000000" w:themeColor="text1"/>
                <w:kern w:val="0"/>
                <w:sz w:val="18"/>
                <w:szCs w:val="18"/>
                <w14:textFill>
                  <w14:solidFill>
                    <w14:schemeClr w14:val="tx1"/>
                  </w14:solidFill>
                </w14:textFill>
              </w:rPr>
              <w:t>632533893</w:t>
            </w:r>
          </w:p>
        </w:tc>
        <w:tc>
          <w:tcPr>
            <w:tcW w:w="1701" w:type="dxa"/>
            <w:vAlign w:val="center"/>
          </w:tcPr>
          <w:p w14:paraId="5E299B3E">
            <w:pPr>
              <w:snapToGrid w:val="0"/>
              <w:ind w:right="105" w:rightChars="50"/>
              <w:jc w:val="right"/>
              <w:rPr>
                <w:rFonts w:ascii="宋体"/>
                <w:color w:val="000000" w:themeColor="text1"/>
                <w:kern w:val="0"/>
                <w:sz w:val="18"/>
                <w:szCs w:val="18"/>
                <w14:textFill>
                  <w14:solidFill>
                    <w14:schemeClr w14:val="tx1"/>
                  </w14:solidFill>
                </w14:textFill>
              </w:rPr>
            </w:pPr>
          </w:p>
        </w:tc>
        <w:tc>
          <w:tcPr>
            <w:tcW w:w="1276" w:type="dxa"/>
            <w:vAlign w:val="center"/>
          </w:tcPr>
          <w:p w14:paraId="7D35868A">
            <w:pPr>
              <w:snapToGrid w:val="0"/>
              <w:ind w:right="105" w:rightChars="50"/>
              <w:jc w:val="righ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w:t>
            </w:r>
          </w:p>
        </w:tc>
        <w:tc>
          <w:tcPr>
            <w:tcW w:w="1559" w:type="dxa"/>
            <w:vAlign w:val="center"/>
          </w:tcPr>
          <w:p w14:paraId="0977675A">
            <w:pPr>
              <w:snapToGrid w:val="0"/>
              <w:jc w:val="center"/>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2024年5月销户</w:t>
            </w:r>
          </w:p>
        </w:tc>
      </w:tr>
      <w:tr w14:paraId="7765F65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1843" w:type="dxa"/>
            <w:vAlign w:val="center"/>
          </w:tcPr>
          <w:p w14:paraId="48561811">
            <w:pPr>
              <w:snapToGrid w:val="0"/>
              <w:jc w:val="center"/>
              <w:rPr>
                <w:rFonts w:ascii="宋体"/>
                <w:color w:val="000000" w:themeColor="text1"/>
                <w:kern w:val="0"/>
                <w:sz w:val="18"/>
                <w:szCs w:val="18"/>
                <w14:textFill>
                  <w14:solidFill>
                    <w14:schemeClr w14:val="tx1"/>
                  </w14:solidFill>
                </w14:textFill>
              </w:rPr>
            </w:pPr>
            <w:r>
              <w:rPr>
                <w:rFonts w:hint="eastAsia" w:ascii="宋体" w:hAnsi="宋体"/>
                <w:color w:val="000000" w:themeColor="text1"/>
                <w:kern w:val="0"/>
                <w:sz w:val="18"/>
                <w:szCs w:val="18"/>
                <w14:textFill>
                  <w14:solidFill>
                    <w14:schemeClr w14:val="tx1"/>
                  </w14:solidFill>
                </w14:textFill>
              </w:rPr>
              <w:t>合计</w:t>
            </w:r>
          </w:p>
        </w:tc>
        <w:tc>
          <w:tcPr>
            <w:tcW w:w="1985" w:type="dxa"/>
            <w:vAlign w:val="center"/>
          </w:tcPr>
          <w:p w14:paraId="29E61ADF">
            <w:pPr>
              <w:snapToGrid w:val="0"/>
              <w:jc w:val="center"/>
              <w:rPr>
                <w:rFonts w:ascii="宋体"/>
                <w:color w:val="000000" w:themeColor="text1"/>
                <w:kern w:val="0"/>
                <w:sz w:val="18"/>
                <w:szCs w:val="18"/>
                <w14:textFill>
                  <w14:solidFill>
                    <w14:schemeClr w14:val="tx1"/>
                  </w14:solidFill>
                </w14:textFill>
              </w:rPr>
            </w:pPr>
          </w:p>
        </w:tc>
        <w:tc>
          <w:tcPr>
            <w:tcW w:w="1701" w:type="dxa"/>
            <w:vAlign w:val="center"/>
          </w:tcPr>
          <w:p w14:paraId="7BA1968E">
            <w:pPr>
              <w:snapToGrid w:val="0"/>
              <w:ind w:right="105" w:rightChars="50"/>
              <w:jc w:val="right"/>
              <w:rPr>
                <w:rFonts w:ascii="宋体"/>
                <w:color w:val="000000" w:themeColor="text1"/>
                <w:kern w:val="0"/>
                <w:sz w:val="18"/>
                <w:szCs w:val="18"/>
                <w14:textFill>
                  <w14:solidFill>
                    <w14:schemeClr w14:val="tx1"/>
                  </w14:solidFill>
                </w14:textFill>
              </w:rPr>
            </w:pPr>
            <w:r>
              <w:rPr>
                <w:rFonts w:ascii="宋体"/>
                <w:color w:val="000000" w:themeColor="text1"/>
                <w:kern w:val="0"/>
                <w:sz w:val="18"/>
                <w:szCs w:val="18"/>
                <w14:textFill>
                  <w14:solidFill>
                    <w14:schemeClr w14:val="tx1"/>
                  </w14:solidFill>
                </w14:textFill>
              </w:rPr>
              <w:t>503,889,800.00</w:t>
            </w:r>
          </w:p>
        </w:tc>
        <w:tc>
          <w:tcPr>
            <w:tcW w:w="1276" w:type="dxa"/>
            <w:vAlign w:val="center"/>
          </w:tcPr>
          <w:p w14:paraId="0119B29C">
            <w:pPr>
              <w:snapToGrid w:val="0"/>
              <w:ind w:right="105" w:rightChars="50"/>
              <w:jc w:val="right"/>
              <w:rPr>
                <w:rFonts w:ascii="宋体"/>
                <w:color w:val="000000" w:themeColor="text1"/>
                <w:kern w:val="0"/>
                <w:sz w:val="18"/>
                <w:szCs w:val="18"/>
                <w14:textFill>
                  <w14:solidFill>
                    <w14:schemeClr w14:val="tx1"/>
                  </w14:solidFill>
                </w14:textFill>
              </w:rPr>
            </w:pPr>
            <w:r>
              <w:rPr>
                <w:rFonts w:hint="eastAsia" w:ascii="宋体"/>
                <w:color w:val="000000" w:themeColor="text1"/>
                <w:kern w:val="0"/>
                <w:sz w:val="18"/>
                <w:szCs w:val="18"/>
                <w14:textFill>
                  <w14:solidFill>
                    <w14:schemeClr w14:val="tx1"/>
                  </w14:solidFill>
                </w14:textFill>
              </w:rPr>
              <w:t>-</w:t>
            </w:r>
          </w:p>
        </w:tc>
        <w:tc>
          <w:tcPr>
            <w:tcW w:w="1559" w:type="dxa"/>
            <w:vAlign w:val="center"/>
          </w:tcPr>
          <w:p w14:paraId="51E5C93C">
            <w:pPr>
              <w:snapToGrid w:val="0"/>
              <w:jc w:val="center"/>
              <w:rPr>
                <w:rFonts w:ascii="宋体"/>
                <w:color w:val="000000" w:themeColor="text1"/>
                <w:kern w:val="0"/>
                <w:sz w:val="18"/>
                <w:szCs w:val="18"/>
                <w14:textFill>
                  <w14:solidFill>
                    <w14:schemeClr w14:val="tx1"/>
                  </w14:solidFill>
                </w14:textFill>
              </w:rPr>
            </w:pPr>
          </w:p>
        </w:tc>
      </w:tr>
    </w:tbl>
    <w:p w14:paraId="4B388875">
      <w:pPr>
        <w:snapToGrid w:val="0"/>
        <w:spacing w:line="360" w:lineRule="auto"/>
        <w:ind w:firstLine="420" w:firstLineChars="200"/>
        <w:rPr>
          <w:color w:val="000000" w:themeColor="text1"/>
          <w:szCs w:val="21"/>
          <w14:textFill>
            <w14:solidFill>
              <w14:schemeClr w14:val="tx1"/>
            </w14:solidFill>
          </w14:textFill>
        </w:rPr>
      </w:pPr>
    </w:p>
    <w:p w14:paraId="4B388876">
      <w:pPr>
        <w:snapToGrid w:val="0"/>
        <w:spacing w:line="360" w:lineRule="auto"/>
        <w:ind w:firstLine="422" w:firstLineChars="200"/>
        <w:rPr>
          <w:rFonts w:hint="eastAsia"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三、2024年度募集资金的使用情况</w:t>
      </w:r>
    </w:p>
    <w:p w14:paraId="4B388877">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color w:val="000000" w:themeColor="text1"/>
          <w:szCs w:val="21"/>
          <w14:textFill>
            <w14:solidFill>
              <w14:schemeClr w14:val="tx1"/>
            </w14:solidFill>
          </w14:textFill>
        </w:rPr>
        <w:t>详见附表</w:t>
      </w:r>
      <w:r>
        <w:rPr>
          <w:rFonts w:hint="eastAsia"/>
          <w:color w:val="000000" w:themeColor="text1"/>
          <w:szCs w:val="21"/>
          <w14:textFill>
            <w14:solidFill>
              <w14:schemeClr w14:val="tx1"/>
            </w14:solidFill>
          </w14:textFill>
        </w:rPr>
        <w:t>1</w:t>
      </w:r>
      <w:r>
        <w:rPr>
          <w:color w:val="000000" w:themeColor="text1"/>
          <w:szCs w:val="21"/>
          <w14:textFill>
            <w14:solidFill>
              <w14:schemeClr w14:val="tx1"/>
            </w14:solidFill>
          </w14:textFill>
        </w:rPr>
        <w:t>《募集资金使用情况对照表》。</w:t>
      </w:r>
    </w:p>
    <w:p w14:paraId="4B388878">
      <w:pPr>
        <w:snapToGrid w:val="0"/>
        <w:spacing w:line="360" w:lineRule="auto"/>
        <w:ind w:firstLine="420" w:firstLineChars="200"/>
        <w:rPr>
          <w:rFonts w:hint="eastAsia" w:ascii="宋体" w:hAnsi="宋体"/>
          <w:color w:val="000000" w:themeColor="text1"/>
          <w:szCs w:val="21"/>
          <w14:textFill>
            <w14:solidFill>
              <w14:schemeClr w14:val="tx1"/>
            </w14:solidFill>
          </w14:textFill>
        </w:rPr>
      </w:pPr>
    </w:p>
    <w:p w14:paraId="4B388879">
      <w:pPr>
        <w:pStyle w:val="5"/>
        <w:snapToGrid w:val="0"/>
        <w:rPr>
          <w:rFonts w:hint="eastAsia"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四、变更募集资金投资项目的资金使用情况</w:t>
      </w:r>
    </w:p>
    <w:p w14:paraId="7B3278DE">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本公司于2023年12月29日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向特定对象发行股票募集资金投资项目中的“江苏中兴制剂车间建设项目”予以终止，并将上述项目终止后剩余的募集资金8,543.49万元（最终金额以资金转出当日银行结息金额为准）永久补充流动资金，用于公司日常生产经营及业务发展。资金划转完成后，公司董事会授权相关人员对相关募集资金专户进行销户处理，对应的《募集资金四方监管协议》亦随之终止。本议案在2</w:t>
      </w:r>
      <w:r>
        <w:rPr>
          <w:rFonts w:ascii="宋体" w:hAnsi="宋体"/>
          <w:color w:val="000000" w:themeColor="text1"/>
          <w:szCs w:val="21"/>
          <w14:textFill>
            <w14:solidFill>
              <w14:schemeClr w14:val="tx1"/>
            </w14:solidFill>
          </w14:textFill>
        </w:rPr>
        <w:t>024</w:t>
      </w:r>
      <w:r>
        <w:rPr>
          <w:rFonts w:hint="eastAsia" w:ascii="宋体" w:hAnsi="宋体"/>
          <w:color w:val="000000" w:themeColor="text1"/>
          <w:szCs w:val="21"/>
          <w14:textFill>
            <w14:solidFill>
              <w14:schemeClr w14:val="tx1"/>
            </w14:solidFill>
          </w14:textFill>
        </w:rPr>
        <w:t>年1月1</w:t>
      </w:r>
      <w:r>
        <w:rPr>
          <w:rFonts w:ascii="宋体" w:hAnsi="宋体"/>
          <w:color w:val="000000" w:themeColor="text1"/>
          <w:szCs w:val="21"/>
          <w14:textFill>
            <w14:solidFill>
              <w14:schemeClr w14:val="tx1"/>
            </w14:solidFill>
          </w14:textFill>
        </w:rPr>
        <w:t>5</w:t>
      </w:r>
      <w:r>
        <w:rPr>
          <w:rFonts w:hint="eastAsia" w:ascii="宋体" w:hAnsi="宋体"/>
          <w:color w:val="000000" w:themeColor="text1"/>
          <w:szCs w:val="21"/>
          <w14:textFill>
            <w14:solidFill>
              <w14:schemeClr w14:val="tx1"/>
            </w14:solidFill>
          </w14:textFill>
        </w:rPr>
        <w:t>日召开的2024年第一次临时股东大会决议中获得通过。2024 年 1 月 18 日，公司将实际剩余募集资金 8,510.52 万元划转至公司基本户。</w:t>
      </w:r>
    </w:p>
    <w:p w14:paraId="38152F88">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公司于2024年7月30日召开第五届董事会第二次会议和第五届监事会第二次会议，审议通过了《关于部分募投项目结项并将节余募集资金永久补充流动资金的议案》。公司2020年创业板向特定对象发行A股股票的募集资金投资项目中的“原料药制剂一体化生产基地建设项目”已达到预定可使用状态，满足结项条件，同意公司将该项目节余资金用于永久补充流动资金，同时授权公司管理层及其授权人士负责办理本次专户注销事项。2024年8月16日，本议案在公司2024年第三次临时股东大会决议中获得通过。2024年8月，公司将实际剩余募集资金（含利息）</w:t>
      </w:r>
      <w:r>
        <w:rPr>
          <w:rFonts w:ascii="宋体" w:hAnsi="宋体"/>
          <w:color w:val="000000" w:themeColor="text1"/>
          <w:szCs w:val="21"/>
          <w14:textFill>
            <w14:solidFill>
              <w14:schemeClr w14:val="tx1"/>
            </w14:solidFill>
          </w14:textFill>
        </w:rPr>
        <w:t>3</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801</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74</w:t>
      </w:r>
      <w:r>
        <w:rPr>
          <w:rFonts w:hint="eastAsia" w:ascii="宋体" w:hAnsi="宋体"/>
          <w:color w:val="000000" w:themeColor="text1"/>
          <w:szCs w:val="21"/>
          <w14:textFill>
            <w14:solidFill>
              <w14:schemeClr w14:val="tx1"/>
            </w14:solidFill>
          </w14:textFill>
        </w:rPr>
        <w:t>万元划转至公司基本户。</w:t>
      </w:r>
    </w:p>
    <w:p w14:paraId="3A6E7488">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公司变更募投项目的资金使用情况详见附表2《变更募集资金投资项目情况表》。</w:t>
      </w:r>
    </w:p>
    <w:p w14:paraId="638E3254">
      <w:pPr>
        <w:snapToGrid w:val="0"/>
        <w:spacing w:line="360" w:lineRule="auto"/>
        <w:ind w:firstLine="420" w:firstLineChars="200"/>
        <w:rPr>
          <w:rFonts w:hint="eastAsia" w:ascii="宋体" w:hAnsi="宋体"/>
          <w:color w:val="000000" w:themeColor="text1"/>
          <w:szCs w:val="21"/>
          <w14:textFill>
            <w14:solidFill>
              <w14:schemeClr w14:val="tx1"/>
            </w14:solidFill>
          </w14:textFill>
        </w:rPr>
      </w:pPr>
    </w:p>
    <w:p w14:paraId="4B38887C">
      <w:pPr>
        <w:snapToGrid w:val="0"/>
        <w:spacing w:line="360" w:lineRule="auto"/>
        <w:ind w:firstLine="422" w:firstLineChars="200"/>
        <w:rPr>
          <w:rFonts w:hint="eastAsia" w:ascii="宋体" w:hAnsi="宋体"/>
          <w:b/>
          <w:color w:val="000000" w:themeColor="text1"/>
          <w:szCs w:val="21"/>
          <w14:textFill>
            <w14:solidFill>
              <w14:schemeClr w14:val="tx1"/>
            </w14:solidFill>
          </w14:textFill>
        </w:rPr>
      </w:pPr>
      <w:r>
        <w:rPr>
          <w:rFonts w:ascii="宋体" w:hAnsi="宋体"/>
          <w:b/>
          <w:color w:val="000000" w:themeColor="text1"/>
          <w:szCs w:val="21"/>
          <w14:textFill>
            <w14:solidFill>
              <w14:schemeClr w14:val="tx1"/>
            </w14:solidFill>
          </w14:textFill>
        </w:rPr>
        <w:t>五、募集资金使用及披露中存在的问题</w:t>
      </w:r>
    </w:p>
    <w:p w14:paraId="4B38887D">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ascii="宋体" w:hAnsi="宋体"/>
          <w:color w:val="000000" w:themeColor="text1"/>
          <w:szCs w:val="21"/>
          <w14:textFill>
            <w14:solidFill>
              <w14:schemeClr w14:val="tx1"/>
            </w14:solidFill>
          </w14:textFill>
        </w:rPr>
        <w:t>本公司已披</w:t>
      </w:r>
      <w:r>
        <w:rPr>
          <w:rFonts w:hint="eastAsia" w:ascii="宋体" w:hAnsi="宋体"/>
          <w:color w:val="000000" w:themeColor="text1"/>
          <w:szCs w:val="21"/>
          <w14:textFill>
            <w14:solidFill>
              <w14:schemeClr w14:val="tx1"/>
            </w14:solidFill>
          </w14:textFill>
        </w:rPr>
        <w:t>露</w:t>
      </w:r>
      <w:r>
        <w:rPr>
          <w:rFonts w:ascii="宋体" w:hAnsi="宋体"/>
          <w:color w:val="000000" w:themeColor="text1"/>
          <w:szCs w:val="21"/>
          <w14:textFill>
            <w14:solidFill>
              <w14:schemeClr w14:val="tx1"/>
            </w14:solidFill>
          </w14:textFill>
        </w:rPr>
        <w:t>的</w:t>
      </w:r>
      <w:r>
        <w:rPr>
          <w:rFonts w:hint="eastAsia" w:ascii="宋体" w:hAnsi="宋体"/>
          <w:color w:val="000000" w:themeColor="text1"/>
          <w:szCs w:val="21"/>
          <w14:textFill>
            <w14:solidFill>
              <w14:schemeClr w14:val="tx1"/>
            </w14:solidFill>
          </w14:textFill>
        </w:rPr>
        <w:t>关</w:t>
      </w:r>
      <w:r>
        <w:rPr>
          <w:rFonts w:ascii="宋体" w:hAnsi="宋体"/>
          <w:color w:val="000000" w:themeColor="text1"/>
          <w:szCs w:val="21"/>
          <w14:textFill>
            <w14:solidFill>
              <w14:schemeClr w14:val="tx1"/>
            </w14:solidFill>
          </w14:textFill>
        </w:rPr>
        <w:t>于募集资金使用</w:t>
      </w:r>
      <w:r>
        <w:rPr>
          <w:rFonts w:hint="eastAsia" w:ascii="宋体" w:hAnsi="宋体"/>
          <w:color w:val="000000" w:themeColor="text1"/>
          <w:szCs w:val="21"/>
          <w14:textFill>
            <w14:solidFill>
              <w14:schemeClr w14:val="tx1"/>
            </w14:solidFill>
          </w14:textFill>
        </w:rPr>
        <w:t>相</w:t>
      </w:r>
      <w:r>
        <w:rPr>
          <w:rFonts w:ascii="宋体" w:hAnsi="宋体"/>
          <w:color w:val="000000" w:themeColor="text1"/>
          <w:szCs w:val="21"/>
          <w14:textFill>
            <w14:solidFill>
              <w14:schemeClr w14:val="tx1"/>
            </w14:solidFill>
          </w14:textFill>
        </w:rPr>
        <w:t>关信息及时、真实、准确、完整</w:t>
      </w:r>
      <w:r>
        <w:rPr>
          <w:rFonts w:hint="eastAsia" w:ascii="宋体" w:hAnsi="宋体"/>
          <w:color w:val="000000" w:themeColor="text1"/>
          <w:szCs w:val="21"/>
          <w14:textFill>
            <w14:solidFill>
              <w14:schemeClr w14:val="tx1"/>
            </w14:solidFill>
          </w14:textFill>
        </w:rPr>
        <w:t>，</w:t>
      </w:r>
      <w:r>
        <w:rPr>
          <w:rFonts w:ascii="宋体" w:hAnsi="宋体"/>
          <w:color w:val="000000" w:themeColor="text1"/>
          <w:szCs w:val="21"/>
          <w14:textFill>
            <w14:solidFill>
              <w14:schemeClr w14:val="tx1"/>
            </w14:solidFill>
          </w14:textFill>
        </w:rPr>
        <w:t>募集资金</w:t>
      </w:r>
      <w:r>
        <w:rPr>
          <w:rFonts w:hint="eastAsia" w:ascii="宋体" w:hAnsi="宋体"/>
          <w:color w:val="000000" w:themeColor="text1"/>
          <w:szCs w:val="21"/>
          <w14:textFill>
            <w14:solidFill>
              <w14:schemeClr w14:val="tx1"/>
            </w14:solidFill>
          </w14:textFill>
        </w:rPr>
        <w:t>的使用</w:t>
      </w:r>
      <w:r>
        <w:rPr>
          <w:rFonts w:ascii="宋体" w:hAnsi="宋体"/>
          <w:color w:val="000000" w:themeColor="text1"/>
          <w:szCs w:val="21"/>
          <w14:textFill>
            <w14:solidFill>
              <w14:schemeClr w14:val="tx1"/>
            </w14:solidFill>
          </w14:textFill>
        </w:rPr>
        <w:t>和管理</w:t>
      </w:r>
      <w:r>
        <w:rPr>
          <w:rFonts w:hint="eastAsia" w:ascii="宋体" w:hAnsi="宋体"/>
          <w:color w:val="000000" w:themeColor="text1"/>
          <w:szCs w:val="21"/>
          <w14:textFill>
            <w14:solidFill>
              <w14:schemeClr w14:val="tx1"/>
            </w14:solidFill>
          </w14:textFill>
        </w:rPr>
        <w:t>不</w:t>
      </w:r>
      <w:r>
        <w:rPr>
          <w:rFonts w:ascii="宋体" w:hAnsi="宋体"/>
          <w:color w:val="000000" w:themeColor="text1"/>
          <w:szCs w:val="21"/>
          <w14:textFill>
            <w14:solidFill>
              <w14:schemeClr w14:val="tx1"/>
            </w14:solidFill>
          </w14:textFill>
        </w:rPr>
        <w:t>存在违规情况。</w:t>
      </w:r>
    </w:p>
    <w:p w14:paraId="4B388881">
      <w:pPr>
        <w:snapToGrid w:val="0"/>
        <w:spacing w:line="360" w:lineRule="auto"/>
        <w:rPr>
          <w:rFonts w:hint="eastAsia" w:ascii="宋体" w:hAnsi="宋体"/>
          <w:color w:val="000000" w:themeColor="text1"/>
          <w:szCs w:val="21"/>
          <w14:textFill>
            <w14:solidFill>
              <w14:schemeClr w14:val="tx1"/>
            </w14:solidFill>
          </w14:textFill>
        </w:rPr>
      </w:pPr>
    </w:p>
    <w:p w14:paraId="4B388882">
      <w:pPr>
        <w:snapToGrid w:val="0"/>
        <w:spacing w:line="360" w:lineRule="auto"/>
        <w:rPr>
          <w:rFonts w:hint="eastAsia" w:ascii="宋体" w:hAnsi="宋体"/>
          <w:color w:val="000000" w:themeColor="text1"/>
          <w:szCs w:val="21"/>
          <w14:textFill>
            <w14:solidFill>
              <w14:schemeClr w14:val="tx1"/>
            </w14:solidFill>
          </w14:textFill>
        </w:rPr>
      </w:pPr>
    </w:p>
    <w:p w14:paraId="4B388883">
      <w:pPr>
        <w:snapToGrid w:val="0"/>
        <w:spacing w:line="360" w:lineRule="auto"/>
        <w:jc w:val="right"/>
        <w:rPr>
          <w:rFonts w:hint="eastAsia" w:ascii="宋体" w:hAnsi="宋体"/>
          <w:color w:val="000000" w:themeColor="text1"/>
          <w:szCs w:val="21"/>
          <w14:textFill>
            <w14:solidFill>
              <w14:schemeClr w14:val="tx1"/>
            </w14:solidFill>
          </w14:textFill>
        </w:rPr>
      </w:pPr>
    </w:p>
    <w:p w14:paraId="31A04C1E">
      <w:pPr>
        <w:snapToGrid w:val="0"/>
        <w:spacing w:line="360" w:lineRule="auto"/>
        <w:ind w:right="420"/>
        <w:jc w:val="right"/>
        <w:rPr>
          <w:b/>
          <w:bCs/>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 xml:space="preserve">                             </w:t>
      </w:r>
      <w:r>
        <w:rPr>
          <w:rFonts w:hint="eastAsia"/>
          <w:b/>
          <w:bCs/>
          <w:color w:val="000000" w:themeColor="text1"/>
          <w:szCs w:val="21"/>
          <w14:textFill>
            <w14:solidFill>
              <w14:schemeClr w14:val="tx1"/>
            </w14:solidFill>
          </w14:textFill>
        </w:rPr>
        <w:t>福建广生堂药业股份有限公司</w:t>
      </w:r>
    </w:p>
    <w:p w14:paraId="4B388884">
      <w:pPr>
        <w:snapToGrid w:val="0"/>
        <w:spacing w:line="360" w:lineRule="auto"/>
        <w:ind w:right="1264"/>
        <w:jc w:val="center"/>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 xml:space="preserve">                                                        （盖章）</w:t>
      </w:r>
    </w:p>
    <w:p w14:paraId="072A9425">
      <w:pPr>
        <w:snapToGrid w:val="0"/>
        <w:spacing w:line="360" w:lineRule="auto"/>
        <w:ind w:right="842"/>
        <w:jc w:val="right"/>
        <w:rPr>
          <w:b/>
          <w:bCs/>
          <w:color w:val="000000" w:themeColor="text1"/>
          <w:szCs w:val="21"/>
          <w14:textFill>
            <w14:solidFill>
              <w14:schemeClr w14:val="tx1"/>
            </w14:solidFill>
          </w14:textFill>
        </w:rPr>
      </w:pPr>
      <w:r>
        <w:rPr>
          <w:rFonts w:hint="eastAsia"/>
          <w:b/>
          <w:bCs/>
          <w:color w:val="000000" w:themeColor="text1"/>
          <w:szCs w:val="21"/>
          <w14:textFill>
            <w14:solidFill>
              <w14:schemeClr w14:val="tx1"/>
            </w14:solidFill>
          </w14:textFill>
        </w:rPr>
        <w:t>二〇二五年四月十六日</w:t>
      </w:r>
    </w:p>
    <w:p w14:paraId="23ED0991">
      <w:pPr>
        <w:tabs>
          <w:tab w:val="left" w:pos="4253"/>
          <w:tab w:val="left" w:pos="4678"/>
        </w:tabs>
        <w:snapToGrid w:val="0"/>
        <w:spacing w:line="360" w:lineRule="auto"/>
        <w:ind w:right="1680" w:rightChars="800"/>
        <w:rPr>
          <w:rFonts w:hint="eastAsia" w:ascii="宋体" w:hAnsi="宋体"/>
          <w:b/>
          <w:bCs/>
          <w:color w:val="000000" w:themeColor="text1"/>
          <w:szCs w:val="21"/>
          <w14:textFill>
            <w14:solidFill>
              <w14:schemeClr w14:val="tx1"/>
            </w14:solidFill>
          </w14:textFill>
        </w:rPr>
      </w:pPr>
    </w:p>
    <w:p w14:paraId="3D255EB4">
      <w:pPr>
        <w:tabs>
          <w:tab w:val="left" w:pos="4253"/>
          <w:tab w:val="left" w:pos="4678"/>
        </w:tabs>
        <w:snapToGrid w:val="0"/>
        <w:spacing w:line="360" w:lineRule="auto"/>
        <w:ind w:right="1680" w:rightChars="800"/>
        <w:rPr>
          <w:rFonts w:hint="eastAsia" w:ascii="宋体" w:hAnsi="宋体"/>
          <w:b/>
          <w:bCs/>
          <w:color w:val="000000" w:themeColor="text1"/>
          <w:szCs w:val="21"/>
          <w14:textFill>
            <w14:solidFill>
              <w14:schemeClr w14:val="tx1"/>
            </w14:solidFill>
          </w14:textFill>
        </w:rPr>
        <w:sectPr>
          <w:footerReference r:id="rId5" w:type="first"/>
          <w:headerReference r:id="rId3" w:type="default"/>
          <w:footerReference r:id="rId4" w:type="default"/>
          <w:pgSz w:w="11907" w:h="16840"/>
          <w:pgMar w:top="2155" w:right="1797" w:bottom="1440" w:left="1797" w:header="851" w:footer="992" w:gutter="0"/>
          <w:pgNumType w:start="1"/>
          <w:cols w:space="720" w:num="1"/>
          <w:docGrid w:linePitch="435" w:charSpace="0"/>
        </w:sectPr>
      </w:pPr>
    </w:p>
    <w:p w14:paraId="4B388886">
      <w:pPr>
        <w:tabs>
          <w:tab w:val="left" w:pos="4253"/>
          <w:tab w:val="left" w:pos="4678"/>
        </w:tabs>
        <w:snapToGrid w:val="0"/>
        <w:spacing w:line="360" w:lineRule="auto"/>
        <w:ind w:right="630"/>
        <w:jc w:val="left"/>
        <w:rPr>
          <w:rFonts w:hint="eastAsia" w:ascii="宋体" w:hAnsi="宋体"/>
          <w:b/>
          <w:color w:val="000000" w:themeColor="text1"/>
          <w:szCs w:val="21"/>
          <w14:textFill>
            <w14:solidFill>
              <w14:schemeClr w14:val="tx1"/>
            </w14:solidFill>
          </w14:textFill>
        </w:rPr>
      </w:pPr>
      <w:r>
        <w:rPr>
          <w:rFonts w:hint="eastAsia" w:ascii="宋体" w:hAnsi="宋体"/>
          <w:b/>
          <w:color w:val="000000" w:themeColor="text1"/>
          <w:szCs w:val="21"/>
          <w14:textFill>
            <w14:solidFill>
              <w14:schemeClr w14:val="tx1"/>
            </w14:solidFill>
          </w14:textFill>
        </w:rPr>
        <w:t>附表1</w:t>
      </w:r>
    </w:p>
    <w:p w14:paraId="4B388887">
      <w:pPr>
        <w:snapToGrid w:val="0"/>
        <w:spacing w:line="360" w:lineRule="auto"/>
        <w:jc w:val="center"/>
        <w:rPr>
          <w:rFonts w:hint="eastAsia" w:ascii="宋体" w:hAnsi="宋体"/>
          <w:b/>
          <w:color w:val="000000" w:themeColor="text1"/>
          <w:sz w:val="30"/>
          <w:szCs w:val="30"/>
          <w14:textFill>
            <w14:solidFill>
              <w14:schemeClr w14:val="tx1"/>
            </w14:solidFill>
          </w14:textFill>
        </w:rPr>
      </w:pPr>
      <w:r>
        <w:rPr>
          <w:rFonts w:hint="eastAsia" w:ascii="宋体" w:hAnsi="宋体"/>
          <w:b/>
          <w:color w:val="000000" w:themeColor="text1"/>
          <w:sz w:val="30"/>
          <w:szCs w:val="30"/>
          <w14:textFill>
            <w14:solidFill>
              <w14:schemeClr w14:val="tx1"/>
            </w14:solidFill>
          </w14:textFill>
        </w:rPr>
        <w:t>募集资金使用情况对照表</w:t>
      </w:r>
    </w:p>
    <w:p w14:paraId="4B388888">
      <w:pPr>
        <w:snapToGrid w:val="0"/>
        <w:spacing w:line="360" w:lineRule="auto"/>
        <w:jc w:val="left"/>
        <w:rPr>
          <w:rFonts w:ascii="Arial Narrow" w:hAnsi="Arial Narrow" w:cs="Arial"/>
          <w:color w:val="000000" w:themeColor="text1"/>
          <w:kern w:val="0"/>
          <w14:textFill>
            <w14:solidFill>
              <w14:schemeClr w14:val="tx1"/>
            </w14:solidFill>
          </w14:textFill>
        </w:rPr>
      </w:pPr>
      <w:r>
        <w:rPr>
          <w:rFonts w:hint="eastAsia" w:ascii="宋体" w:hAnsi="宋体"/>
          <w:color w:val="000000" w:themeColor="text1"/>
          <w:szCs w:val="21"/>
          <w14:textFill>
            <w14:solidFill>
              <w14:schemeClr w14:val="tx1"/>
            </w14:solidFill>
          </w14:textFill>
        </w:rPr>
        <w:t>编制单位：</w:t>
      </w:r>
      <w:r>
        <w:rPr>
          <w:rFonts w:hint="eastAsia" w:ascii="Arial Narrow" w:hAnsi="Arial Narrow" w:cs="Arial"/>
          <w:color w:val="000000" w:themeColor="text1"/>
          <w:kern w:val="0"/>
          <w14:textFill>
            <w14:solidFill>
              <w14:schemeClr w14:val="tx1"/>
            </w14:solidFill>
          </w14:textFill>
        </w:rPr>
        <w:t>福建广生堂药业股份有限公司</w:t>
      </w:r>
    </w:p>
    <w:p w14:paraId="4B388889">
      <w:pPr>
        <w:snapToGrid w:val="0"/>
        <w:ind w:right="-176" w:rightChars="-84"/>
        <w:jc w:val="right"/>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金额单位：人民币万元</w:t>
      </w:r>
    </w:p>
    <w:tbl>
      <w:tblPr>
        <w:tblStyle w:val="13"/>
        <w:tblW w:w="14060" w:type="dxa"/>
        <w:tblInd w:w="0" w:type="dxa"/>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Layout w:type="fixed"/>
        <w:tblCellMar>
          <w:top w:w="0" w:type="dxa"/>
          <w:left w:w="28" w:type="dxa"/>
          <w:bottom w:w="0" w:type="dxa"/>
          <w:right w:w="28" w:type="dxa"/>
        </w:tblCellMar>
      </w:tblPr>
      <w:tblGrid>
        <w:gridCol w:w="2835"/>
        <w:gridCol w:w="1021"/>
        <w:gridCol w:w="1133"/>
        <w:gridCol w:w="1248"/>
        <w:gridCol w:w="1162"/>
        <w:gridCol w:w="1133"/>
        <w:gridCol w:w="1136"/>
        <w:gridCol w:w="737"/>
        <w:gridCol w:w="396"/>
        <w:gridCol w:w="1274"/>
        <w:gridCol w:w="863"/>
        <w:gridCol w:w="1122"/>
      </w:tblGrid>
      <w:tr w14:paraId="4B38888E">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28" w:type="dxa"/>
            <w:bottom w:w="0" w:type="dxa"/>
            <w:right w:w="28" w:type="dxa"/>
          </w:tblCellMar>
        </w:tblPrEx>
        <w:trPr>
          <w:trHeight w:val="340" w:hRule="atLeast"/>
        </w:trPr>
        <w:tc>
          <w:tcPr>
            <w:tcW w:w="3856" w:type="dxa"/>
            <w:gridSpan w:val="2"/>
            <w:vAlign w:val="center"/>
          </w:tcPr>
          <w:p w14:paraId="4B38888A">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募集资金总额</w:t>
            </w:r>
          </w:p>
        </w:tc>
        <w:tc>
          <w:tcPr>
            <w:tcW w:w="3543" w:type="dxa"/>
            <w:gridSpan w:val="3"/>
            <w:vAlign w:val="center"/>
          </w:tcPr>
          <w:p w14:paraId="4B38888B">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49,958.41</w:t>
            </w:r>
            <w:r>
              <w:rPr>
                <w:rFonts w:ascii="宋体" w:hAnsi="宋体" w:cs="宋体"/>
                <w:color w:val="000000" w:themeColor="text1"/>
                <w:kern w:val="0"/>
                <w:sz w:val="18"/>
                <w:szCs w:val="18"/>
                <w14:textFill>
                  <w14:solidFill>
                    <w14:schemeClr w14:val="tx1"/>
                  </w14:solidFill>
                </w14:textFill>
              </w:rPr>
              <w:tab/>
            </w:r>
            <w:r>
              <w:rPr>
                <w:rFonts w:ascii="宋体" w:hAnsi="宋体" w:cs="宋体"/>
                <w:color w:val="000000" w:themeColor="text1"/>
                <w:kern w:val="0"/>
                <w:sz w:val="18"/>
                <w:szCs w:val="18"/>
                <w14:textFill>
                  <w14:solidFill>
                    <w14:schemeClr w14:val="tx1"/>
                  </w14:solidFill>
                </w14:textFill>
              </w:rPr>
              <w:tab/>
            </w:r>
          </w:p>
        </w:tc>
        <w:tc>
          <w:tcPr>
            <w:tcW w:w="3006" w:type="dxa"/>
            <w:gridSpan w:val="3"/>
            <w:vAlign w:val="center"/>
          </w:tcPr>
          <w:p w14:paraId="4B38888C">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本年度投入募集资金总额</w:t>
            </w:r>
          </w:p>
        </w:tc>
        <w:tc>
          <w:tcPr>
            <w:tcW w:w="3655" w:type="dxa"/>
            <w:gridSpan w:val="4"/>
            <w:shd w:val="clear" w:color="auto" w:fill="auto"/>
            <w:vAlign w:val="center"/>
          </w:tcPr>
          <w:p w14:paraId="4B38888D">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12,767.72</w:t>
            </w:r>
          </w:p>
        </w:tc>
      </w:tr>
      <w:tr w14:paraId="4B38889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28" w:type="dxa"/>
            <w:bottom w:w="0" w:type="dxa"/>
            <w:right w:w="28" w:type="dxa"/>
          </w:tblCellMar>
        </w:tblPrEx>
        <w:trPr>
          <w:trHeight w:val="340" w:hRule="atLeast"/>
        </w:trPr>
        <w:tc>
          <w:tcPr>
            <w:tcW w:w="3856" w:type="dxa"/>
            <w:gridSpan w:val="2"/>
            <w:vAlign w:val="center"/>
          </w:tcPr>
          <w:p w14:paraId="4B38888F">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报告期内变更用途的募集资金总额</w:t>
            </w:r>
          </w:p>
        </w:tc>
        <w:tc>
          <w:tcPr>
            <w:tcW w:w="3543" w:type="dxa"/>
            <w:gridSpan w:val="3"/>
            <w:vAlign w:val="center"/>
          </w:tcPr>
          <w:p w14:paraId="4B388890">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8,510.52</w:t>
            </w:r>
          </w:p>
        </w:tc>
        <w:tc>
          <w:tcPr>
            <w:tcW w:w="3006" w:type="dxa"/>
            <w:gridSpan w:val="3"/>
            <w:vMerge w:val="restart"/>
            <w:vAlign w:val="center"/>
          </w:tcPr>
          <w:p w14:paraId="4B388891">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已累计投入募集资金总额</w:t>
            </w:r>
          </w:p>
        </w:tc>
        <w:tc>
          <w:tcPr>
            <w:tcW w:w="3655" w:type="dxa"/>
            <w:gridSpan w:val="4"/>
            <w:vMerge w:val="restart"/>
            <w:shd w:val="clear" w:color="auto" w:fill="auto"/>
            <w:vAlign w:val="center"/>
          </w:tcPr>
          <w:p w14:paraId="4B388892">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 xml:space="preserve">50,787.21 </w:t>
            </w:r>
          </w:p>
        </w:tc>
      </w:tr>
      <w:tr w14:paraId="4B38889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28" w:type="dxa"/>
            <w:bottom w:w="0" w:type="dxa"/>
            <w:right w:w="28" w:type="dxa"/>
          </w:tblCellMar>
        </w:tblPrEx>
        <w:trPr>
          <w:trHeight w:val="340" w:hRule="atLeast"/>
        </w:trPr>
        <w:tc>
          <w:tcPr>
            <w:tcW w:w="3856" w:type="dxa"/>
            <w:gridSpan w:val="2"/>
            <w:vAlign w:val="center"/>
          </w:tcPr>
          <w:p w14:paraId="4B388894">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累计变更用途的募集资金总额</w:t>
            </w:r>
          </w:p>
        </w:tc>
        <w:tc>
          <w:tcPr>
            <w:tcW w:w="3543" w:type="dxa"/>
            <w:gridSpan w:val="3"/>
            <w:vAlign w:val="center"/>
          </w:tcPr>
          <w:p w14:paraId="4B388895">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8</w:t>
            </w:r>
            <w:r>
              <w:rPr>
                <w:rFonts w:hint="eastAsia" w:ascii="宋体" w:hAnsi="宋体" w:cs="宋体"/>
                <w:color w:val="000000" w:themeColor="text1"/>
                <w:kern w:val="0"/>
                <w:sz w:val="18"/>
                <w:szCs w:val="18"/>
                <w14:textFill>
                  <w14:solidFill>
                    <w14:schemeClr w14:val="tx1"/>
                  </w14:solidFill>
                </w14:textFill>
              </w:rPr>
              <w:t>,</w:t>
            </w:r>
            <w:r>
              <w:rPr>
                <w:rFonts w:ascii="宋体" w:hAnsi="宋体" w:cs="宋体"/>
                <w:color w:val="000000" w:themeColor="text1"/>
                <w:kern w:val="0"/>
                <w:sz w:val="18"/>
                <w:szCs w:val="18"/>
                <w14:textFill>
                  <w14:solidFill>
                    <w14:schemeClr w14:val="tx1"/>
                  </w14:solidFill>
                </w14:textFill>
              </w:rPr>
              <w:t>510.52</w:t>
            </w:r>
          </w:p>
        </w:tc>
        <w:tc>
          <w:tcPr>
            <w:tcW w:w="3006" w:type="dxa"/>
            <w:gridSpan w:val="3"/>
            <w:vMerge w:val="continue"/>
            <w:vAlign w:val="center"/>
          </w:tcPr>
          <w:p w14:paraId="4B388896">
            <w:pPr>
              <w:widowControl/>
              <w:snapToGrid w:val="0"/>
              <w:jc w:val="left"/>
              <w:rPr>
                <w:rFonts w:hint="eastAsia" w:ascii="宋体" w:hAnsi="宋体" w:cs="宋体"/>
                <w:color w:val="000000" w:themeColor="text1"/>
                <w:kern w:val="0"/>
                <w:sz w:val="18"/>
                <w:szCs w:val="18"/>
                <w14:textFill>
                  <w14:solidFill>
                    <w14:schemeClr w14:val="tx1"/>
                  </w14:solidFill>
                </w14:textFill>
              </w:rPr>
            </w:pPr>
          </w:p>
        </w:tc>
        <w:tc>
          <w:tcPr>
            <w:tcW w:w="3655" w:type="dxa"/>
            <w:gridSpan w:val="4"/>
            <w:vMerge w:val="continue"/>
            <w:vAlign w:val="center"/>
          </w:tcPr>
          <w:p w14:paraId="4B388897">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p>
        </w:tc>
      </w:tr>
      <w:tr w14:paraId="4B38889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28" w:type="dxa"/>
            <w:bottom w:w="0" w:type="dxa"/>
            <w:right w:w="28" w:type="dxa"/>
          </w:tblCellMar>
        </w:tblPrEx>
        <w:trPr>
          <w:trHeight w:val="340" w:hRule="atLeast"/>
        </w:trPr>
        <w:tc>
          <w:tcPr>
            <w:tcW w:w="3856" w:type="dxa"/>
            <w:gridSpan w:val="2"/>
            <w:vAlign w:val="center"/>
          </w:tcPr>
          <w:p w14:paraId="4B388899">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累计变更用途的募集资金总额比例</w:t>
            </w:r>
          </w:p>
        </w:tc>
        <w:tc>
          <w:tcPr>
            <w:tcW w:w="3543" w:type="dxa"/>
            <w:gridSpan w:val="3"/>
            <w:vAlign w:val="center"/>
          </w:tcPr>
          <w:p w14:paraId="4B38889A">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17.04%</w:t>
            </w:r>
          </w:p>
        </w:tc>
        <w:tc>
          <w:tcPr>
            <w:tcW w:w="3006" w:type="dxa"/>
            <w:gridSpan w:val="3"/>
            <w:vMerge w:val="continue"/>
            <w:vAlign w:val="center"/>
          </w:tcPr>
          <w:p w14:paraId="4B38889B">
            <w:pPr>
              <w:widowControl/>
              <w:snapToGrid w:val="0"/>
              <w:jc w:val="left"/>
              <w:rPr>
                <w:rFonts w:hint="eastAsia" w:ascii="宋体" w:hAnsi="宋体" w:cs="宋体"/>
                <w:color w:val="000000" w:themeColor="text1"/>
                <w:kern w:val="0"/>
                <w:sz w:val="18"/>
                <w:szCs w:val="18"/>
                <w14:textFill>
                  <w14:solidFill>
                    <w14:schemeClr w14:val="tx1"/>
                  </w14:solidFill>
                </w14:textFill>
              </w:rPr>
            </w:pPr>
          </w:p>
        </w:tc>
        <w:tc>
          <w:tcPr>
            <w:tcW w:w="3655" w:type="dxa"/>
            <w:gridSpan w:val="4"/>
            <w:vMerge w:val="continue"/>
            <w:vAlign w:val="center"/>
          </w:tcPr>
          <w:p w14:paraId="4B38889C">
            <w:pPr>
              <w:widowControl/>
              <w:snapToGrid w:val="0"/>
              <w:ind w:right="210" w:rightChars="100"/>
              <w:jc w:val="right"/>
              <w:rPr>
                <w:rFonts w:hint="eastAsia" w:ascii="宋体" w:hAnsi="宋体" w:cs="宋体"/>
                <w:color w:val="000000" w:themeColor="text1"/>
                <w:kern w:val="0"/>
                <w:sz w:val="18"/>
                <w:szCs w:val="18"/>
                <w14:textFill>
                  <w14:solidFill>
                    <w14:schemeClr w14:val="tx1"/>
                  </w14:solidFill>
                </w14:textFill>
              </w:rPr>
            </w:pPr>
          </w:p>
        </w:tc>
      </w:tr>
      <w:tr w14:paraId="4B3888A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89E">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承诺投资项目和超募资金投向</w:t>
            </w:r>
          </w:p>
        </w:tc>
        <w:tc>
          <w:tcPr>
            <w:tcW w:w="1021" w:type="dxa"/>
            <w:vAlign w:val="center"/>
          </w:tcPr>
          <w:p w14:paraId="4B38889F">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是否已变更项目（含部分变更）</w:t>
            </w:r>
          </w:p>
        </w:tc>
        <w:tc>
          <w:tcPr>
            <w:tcW w:w="1133" w:type="dxa"/>
            <w:vAlign w:val="center"/>
          </w:tcPr>
          <w:p w14:paraId="4B3888A0">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募集资金承诺投资总额</w:t>
            </w:r>
          </w:p>
        </w:tc>
        <w:tc>
          <w:tcPr>
            <w:tcW w:w="1248" w:type="dxa"/>
            <w:vAlign w:val="center"/>
          </w:tcPr>
          <w:p w14:paraId="4B3888A1">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调整后投资总额(1)</w:t>
            </w:r>
          </w:p>
        </w:tc>
        <w:tc>
          <w:tcPr>
            <w:tcW w:w="1162" w:type="dxa"/>
            <w:vAlign w:val="center"/>
          </w:tcPr>
          <w:p w14:paraId="4B3888A2">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本年度投入金额</w:t>
            </w:r>
          </w:p>
        </w:tc>
        <w:tc>
          <w:tcPr>
            <w:tcW w:w="1133" w:type="dxa"/>
            <w:vAlign w:val="center"/>
          </w:tcPr>
          <w:p w14:paraId="4B3888A3">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截至期末累计投入金额(2)</w:t>
            </w:r>
          </w:p>
        </w:tc>
        <w:tc>
          <w:tcPr>
            <w:tcW w:w="1136" w:type="dxa"/>
            <w:vAlign w:val="center"/>
          </w:tcPr>
          <w:p w14:paraId="4B3888A4">
            <w:pPr>
              <w:widowControl/>
              <w:snapToGrid w:val="0"/>
              <w:ind w:left="-105" w:leftChars="-50" w:right="-105" w:rightChars="-5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截至期末投资进度（%）(3)＝(2)/(1)</w:t>
            </w:r>
          </w:p>
        </w:tc>
        <w:tc>
          <w:tcPr>
            <w:tcW w:w="1133" w:type="dxa"/>
            <w:gridSpan w:val="2"/>
            <w:vAlign w:val="center"/>
          </w:tcPr>
          <w:p w14:paraId="4B3888A5">
            <w:pPr>
              <w:widowControl/>
              <w:snapToGrid w:val="0"/>
              <w:ind w:right="-86" w:rightChars="-41"/>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项目达到预定可使用状态日期</w:t>
            </w:r>
          </w:p>
        </w:tc>
        <w:tc>
          <w:tcPr>
            <w:tcW w:w="1274" w:type="dxa"/>
            <w:vAlign w:val="center"/>
          </w:tcPr>
          <w:p w14:paraId="4B3888A6">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本年度实现的效益</w:t>
            </w:r>
          </w:p>
        </w:tc>
        <w:tc>
          <w:tcPr>
            <w:tcW w:w="863" w:type="dxa"/>
            <w:vAlign w:val="center"/>
          </w:tcPr>
          <w:p w14:paraId="4B3888A7">
            <w:pPr>
              <w:widowControl/>
              <w:snapToGrid w:val="0"/>
              <w:ind w:right="-99" w:rightChars="-47"/>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是否达到预计效益</w:t>
            </w:r>
          </w:p>
        </w:tc>
        <w:tc>
          <w:tcPr>
            <w:tcW w:w="1122" w:type="dxa"/>
            <w:vAlign w:val="center"/>
          </w:tcPr>
          <w:p w14:paraId="4B3888A8">
            <w:pPr>
              <w:widowControl/>
              <w:snapToGrid w:val="0"/>
              <w:ind w:right="-76" w:rightChars="-36"/>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项目可行性是否发生重大变化</w:t>
            </w:r>
          </w:p>
        </w:tc>
      </w:tr>
      <w:tr w14:paraId="4B3888A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8AA">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承诺投资项目</w:t>
            </w:r>
          </w:p>
        </w:tc>
        <w:tc>
          <w:tcPr>
            <w:tcW w:w="11225" w:type="dxa"/>
            <w:gridSpan w:val="11"/>
            <w:vAlign w:val="center"/>
          </w:tcPr>
          <w:p w14:paraId="4B3888AB">
            <w:pPr>
              <w:widowControl/>
              <w:snapToGrid w:val="0"/>
              <w:jc w:val="center"/>
              <w:rPr>
                <w:rFonts w:hint="eastAsia" w:ascii="宋体" w:hAnsi="宋体" w:cs="宋体"/>
                <w:color w:val="000000" w:themeColor="text1"/>
                <w:kern w:val="0"/>
                <w:sz w:val="18"/>
                <w:szCs w:val="18"/>
                <w14:textFill>
                  <w14:solidFill>
                    <w14:schemeClr w14:val="tx1"/>
                  </w14:solidFill>
                </w14:textFill>
              </w:rPr>
            </w:pPr>
          </w:p>
        </w:tc>
      </w:tr>
      <w:tr w14:paraId="4B3888B8">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8AD">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1.原料药制剂一体化生产基地建设项目</w:t>
            </w:r>
          </w:p>
        </w:tc>
        <w:tc>
          <w:tcPr>
            <w:tcW w:w="1021" w:type="dxa"/>
            <w:vAlign w:val="center"/>
          </w:tcPr>
          <w:p w14:paraId="4B3888AE">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否</w:t>
            </w:r>
          </w:p>
        </w:tc>
        <w:tc>
          <w:tcPr>
            <w:tcW w:w="1133" w:type="dxa"/>
            <w:vAlign w:val="center"/>
          </w:tcPr>
          <w:p w14:paraId="4B3888AF">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26,500.00</w:t>
            </w:r>
          </w:p>
        </w:tc>
        <w:tc>
          <w:tcPr>
            <w:tcW w:w="1248" w:type="dxa"/>
            <w:vAlign w:val="center"/>
          </w:tcPr>
          <w:p w14:paraId="4B3888B0">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24,070.87</w:t>
            </w:r>
          </w:p>
        </w:tc>
        <w:tc>
          <w:tcPr>
            <w:tcW w:w="1162" w:type="dxa"/>
            <w:vAlign w:val="center"/>
          </w:tcPr>
          <w:p w14:paraId="4B3888B1">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455.46</w:t>
            </w:r>
          </w:p>
        </w:tc>
        <w:tc>
          <w:tcPr>
            <w:tcW w:w="1133" w:type="dxa"/>
            <w:vAlign w:val="center"/>
          </w:tcPr>
          <w:p w14:paraId="4B3888B2">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21,097.93</w:t>
            </w:r>
          </w:p>
        </w:tc>
        <w:tc>
          <w:tcPr>
            <w:tcW w:w="1136" w:type="dxa"/>
            <w:vAlign w:val="center"/>
          </w:tcPr>
          <w:p w14:paraId="4B3888B3">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87.65%</w:t>
            </w:r>
          </w:p>
        </w:tc>
        <w:tc>
          <w:tcPr>
            <w:tcW w:w="1133" w:type="dxa"/>
            <w:gridSpan w:val="2"/>
            <w:vAlign w:val="center"/>
          </w:tcPr>
          <w:p w14:paraId="4B3888B4">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2023/3/24</w:t>
            </w:r>
          </w:p>
        </w:tc>
        <w:tc>
          <w:tcPr>
            <w:tcW w:w="1274" w:type="dxa"/>
            <w:vAlign w:val="center"/>
          </w:tcPr>
          <w:p w14:paraId="4B3888B5">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1,651.89</w:t>
            </w:r>
          </w:p>
        </w:tc>
        <w:tc>
          <w:tcPr>
            <w:tcW w:w="863" w:type="dxa"/>
            <w:vAlign w:val="center"/>
          </w:tcPr>
          <w:p w14:paraId="4B3888B6">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否</w:t>
            </w:r>
          </w:p>
        </w:tc>
        <w:tc>
          <w:tcPr>
            <w:tcW w:w="1122" w:type="dxa"/>
            <w:vAlign w:val="center"/>
          </w:tcPr>
          <w:p w14:paraId="4B3888B7">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否</w:t>
            </w:r>
          </w:p>
        </w:tc>
      </w:tr>
      <w:tr w14:paraId="4B3888C4">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8B9">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w:t>
            </w:r>
            <w:r>
              <w:rPr>
                <w:rFonts w:ascii="宋体" w:hAnsi="宋体" w:cs="宋体"/>
                <w:color w:val="000000" w:themeColor="text1"/>
                <w:kern w:val="0"/>
                <w:sz w:val="18"/>
                <w:szCs w:val="18"/>
                <w14:textFill>
                  <w14:solidFill>
                    <w14:schemeClr w14:val="tx1"/>
                  </w14:solidFill>
                </w14:textFill>
              </w:rPr>
              <w:t>.</w:t>
            </w:r>
            <w:r>
              <w:rPr>
                <w:rFonts w:hint="eastAsia" w:ascii="宋体" w:hAnsi="宋体" w:cs="宋体"/>
                <w:color w:val="000000" w:themeColor="text1"/>
                <w:kern w:val="0"/>
                <w:sz w:val="18"/>
                <w:szCs w:val="18"/>
                <w14:textFill>
                  <w14:solidFill>
                    <w14:schemeClr w14:val="tx1"/>
                  </w14:solidFill>
                </w14:textFill>
              </w:rPr>
              <w:t>江苏中兴制剂车间建设项目</w:t>
            </w:r>
          </w:p>
        </w:tc>
        <w:tc>
          <w:tcPr>
            <w:tcW w:w="1021" w:type="dxa"/>
            <w:vAlign w:val="center"/>
          </w:tcPr>
          <w:p w14:paraId="78EF9A7C">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是</w:t>
            </w:r>
          </w:p>
        </w:tc>
        <w:tc>
          <w:tcPr>
            <w:tcW w:w="1133" w:type="dxa"/>
            <w:vAlign w:val="center"/>
          </w:tcPr>
          <w:p w14:paraId="4B3888BB">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12,500.00</w:t>
            </w:r>
          </w:p>
        </w:tc>
        <w:tc>
          <w:tcPr>
            <w:tcW w:w="1248" w:type="dxa"/>
            <w:vAlign w:val="center"/>
          </w:tcPr>
          <w:p w14:paraId="4B3888BC">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2,843.67</w:t>
            </w:r>
          </w:p>
        </w:tc>
        <w:tc>
          <w:tcPr>
            <w:tcW w:w="1162" w:type="dxa"/>
            <w:vAlign w:val="center"/>
          </w:tcPr>
          <w:p w14:paraId="4B3888BD">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w:t>
            </w:r>
          </w:p>
        </w:tc>
        <w:tc>
          <w:tcPr>
            <w:tcW w:w="1133" w:type="dxa"/>
            <w:vAlign w:val="center"/>
          </w:tcPr>
          <w:p w14:paraId="4B3888BE">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2,843.67</w:t>
            </w:r>
          </w:p>
        </w:tc>
        <w:tc>
          <w:tcPr>
            <w:tcW w:w="1136" w:type="dxa"/>
            <w:vAlign w:val="center"/>
          </w:tcPr>
          <w:p w14:paraId="4B3888BF">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100.00%</w:t>
            </w:r>
          </w:p>
        </w:tc>
        <w:tc>
          <w:tcPr>
            <w:tcW w:w="1133" w:type="dxa"/>
            <w:gridSpan w:val="2"/>
            <w:vAlign w:val="center"/>
          </w:tcPr>
          <w:p w14:paraId="4B3888C0">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已终止</w:t>
            </w:r>
          </w:p>
        </w:tc>
        <w:tc>
          <w:tcPr>
            <w:tcW w:w="1274" w:type="dxa"/>
            <w:vAlign w:val="center"/>
          </w:tcPr>
          <w:p w14:paraId="4B3888C1">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c>
          <w:tcPr>
            <w:tcW w:w="863" w:type="dxa"/>
            <w:vAlign w:val="center"/>
          </w:tcPr>
          <w:p w14:paraId="4B3888C2">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c>
          <w:tcPr>
            <w:tcW w:w="1122" w:type="dxa"/>
            <w:vAlign w:val="center"/>
          </w:tcPr>
          <w:p w14:paraId="4B3888C3">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是</w:t>
            </w:r>
          </w:p>
        </w:tc>
      </w:tr>
      <w:tr w14:paraId="31FA035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581AC6ED">
            <w:pPr>
              <w:widowControl/>
              <w:jc w:val="left"/>
              <w:textAlignment w:val="center"/>
              <w:rPr>
                <w:rFonts w:hint="eastAsia" w:ascii="宋体" w:hAnsi="宋体" w:cs="宋体"/>
                <w:color w:val="000000" w:themeColor="text1"/>
                <w:kern w:val="0"/>
                <w:sz w:val="18"/>
                <w:szCs w:val="18"/>
                <w14:textFill>
                  <w14:solidFill>
                    <w14:schemeClr w14:val="tx1"/>
                  </w14:solidFill>
                </w14:textFill>
              </w:rPr>
            </w:pPr>
            <w:r>
              <w:rPr>
                <w:color w:val="000000" w:themeColor="text1"/>
                <w:kern w:val="0"/>
                <w:sz w:val="18"/>
                <w:szCs w:val="18"/>
                <w:lang w:bidi="ar"/>
                <w14:textFill>
                  <w14:solidFill>
                    <w14:schemeClr w14:val="tx1"/>
                  </w14:solidFill>
                </w14:textFill>
              </w:rPr>
              <w:t>3. 补充流动资金项目</w:t>
            </w:r>
            <w:r>
              <w:rPr>
                <w:rFonts w:hint="eastAsia"/>
                <w:color w:val="000000" w:themeColor="text1"/>
                <w:kern w:val="0"/>
                <w:sz w:val="18"/>
                <w:szCs w:val="18"/>
                <w:vertAlign w:val="superscript"/>
                <w:lang w:bidi="ar"/>
                <w14:textFill>
                  <w14:solidFill>
                    <w14:schemeClr w14:val="tx1"/>
                  </w14:solidFill>
                </w14:textFill>
              </w:rPr>
              <w:t>注1</w:t>
            </w:r>
          </w:p>
        </w:tc>
        <w:tc>
          <w:tcPr>
            <w:tcW w:w="1021" w:type="dxa"/>
            <w:vAlign w:val="center"/>
          </w:tcPr>
          <w:p w14:paraId="164E50BC">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否</w:t>
            </w:r>
          </w:p>
        </w:tc>
        <w:tc>
          <w:tcPr>
            <w:tcW w:w="1133" w:type="dxa"/>
            <w:vAlign w:val="center"/>
          </w:tcPr>
          <w:p w14:paraId="557BFF95">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16,000.00</w:t>
            </w:r>
          </w:p>
        </w:tc>
        <w:tc>
          <w:tcPr>
            <w:tcW w:w="1248" w:type="dxa"/>
            <w:vAlign w:val="center"/>
          </w:tcPr>
          <w:p w14:paraId="1108D551">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23,043.87</w:t>
            </w:r>
          </w:p>
        </w:tc>
        <w:tc>
          <w:tcPr>
            <w:tcW w:w="1162" w:type="dxa"/>
            <w:vAlign w:val="center"/>
          </w:tcPr>
          <w:p w14:paraId="1AEC4444">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12,312.26</w:t>
            </w:r>
          </w:p>
        </w:tc>
        <w:tc>
          <w:tcPr>
            <w:tcW w:w="1133" w:type="dxa"/>
            <w:vAlign w:val="center"/>
          </w:tcPr>
          <w:p w14:paraId="7503B540">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26,845.62</w:t>
            </w:r>
          </w:p>
        </w:tc>
        <w:tc>
          <w:tcPr>
            <w:tcW w:w="1136" w:type="dxa"/>
            <w:vAlign w:val="center"/>
          </w:tcPr>
          <w:p w14:paraId="2A4D3C35">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116.50%</w:t>
            </w:r>
          </w:p>
        </w:tc>
        <w:tc>
          <w:tcPr>
            <w:tcW w:w="1133" w:type="dxa"/>
            <w:gridSpan w:val="2"/>
            <w:vAlign w:val="center"/>
          </w:tcPr>
          <w:p w14:paraId="700B7CB7">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c>
          <w:tcPr>
            <w:tcW w:w="1274" w:type="dxa"/>
            <w:vAlign w:val="center"/>
          </w:tcPr>
          <w:p w14:paraId="03BC72EB">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c>
          <w:tcPr>
            <w:tcW w:w="863" w:type="dxa"/>
            <w:vAlign w:val="center"/>
          </w:tcPr>
          <w:p w14:paraId="6F914D5A">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c>
          <w:tcPr>
            <w:tcW w:w="1122" w:type="dxa"/>
            <w:vAlign w:val="center"/>
          </w:tcPr>
          <w:p w14:paraId="34516770">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否</w:t>
            </w:r>
          </w:p>
        </w:tc>
      </w:tr>
      <w:tr w14:paraId="4B3888D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8C5">
            <w:pPr>
              <w:widowControl/>
              <w:snapToGrid w:val="0"/>
              <w:jc w:val="left"/>
              <w:rPr>
                <w:rFonts w:hint="eastAsia" w:ascii="宋体" w:hAnsi="宋体" w:cs="宋体"/>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承诺投资项目小计</w:t>
            </w:r>
            <w:r>
              <w:rPr>
                <w:rFonts w:hint="eastAsia"/>
                <w:color w:val="000000" w:themeColor="text1"/>
                <w:kern w:val="0"/>
                <w:sz w:val="18"/>
                <w:szCs w:val="18"/>
                <w:vertAlign w:val="superscript"/>
                <w14:textFill>
                  <w14:solidFill>
                    <w14:schemeClr w14:val="tx1"/>
                  </w14:solidFill>
                </w14:textFill>
              </w:rPr>
              <w:t>注2</w:t>
            </w:r>
          </w:p>
        </w:tc>
        <w:tc>
          <w:tcPr>
            <w:tcW w:w="1021" w:type="dxa"/>
            <w:vAlign w:val="center"/>
          </w:tcPr>
          <w:p w14:paraId="4B3888C6">
            <w:pPr>
              <w:widowControl/>
              <w:snapToGrid w:val="0"/>
              <w:jc w:val="center"/>
              <w:rPr>
                <w:rFonts w:hint="eastAsia" w:ascii="宋体" w:hAnsi="宋体" w:cs="宋体"/>
                <w:color w:val="000000" w:themeColor="text1"/>
                <w:kern w:val="0"/>
                <w:sz w:val="18"/>
                <w:szCs w:val="18"/>
                <w14:textFill>
                  <w14:solidFill>
                    <w14:schemeClr w14:val="tx1"/>
                  </w14:solidFill>
                </w14:textFill>
              </w:rPr>
            </w:pPr>
          </w:p>
        </w:tc>
        <w:tc>
          <w:tcPr>
            <w:tcW w:w="1133" w:type="dxa"/>
            <w:vAlign w:val="center"/>
          </w:tcPr>
          <w:p w14:paraId="4B3888C7">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55,000.00</w:t>
            </w:r>
          </w:p>
        </w:tc>
        <w:tc>
          <w:tcPr>
            <w:tcW w:w="1248" w:type="dxa"/>
            <w:vAlign w:val="center"/>
          </w:tcPr>
          <w:p w14:paraId="4B3888C8">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49,958.41</w:t>
            </w:r>
          </w:p>
        </w:tc>
        <w:tc>
          <w:tcPr>
            <w:tcW w:w="1162" w:type="dxa"/>
            <w:shd w:val="clear" w:color="auto" w:fill="auto"/>
            <w:vAlign w:val="center"/>
          </w:tcPr>
          <w:p w14:paraId="4B3888C9">
            <w:pPr>
              <w:widowControl/>
              <w:jc w:val="center"/>
              <w:textAlignment w:val="center"/>
              <w:rPr>
                <w:rFonts w:ascii="Arial Narrow" w:hAnsi="Arial Narrow" w:eastAsia="Arial Narrow" w:cs="Arial Narrow"/>
                <w:color w:val="000000" w:themeColor="text1"/>
                <w:sz w:val="20"/>
                <w14:textFill>
                  <w14:solidFill>
                    <w14:schemeClr w14:val="tx1"/>
                  </w14:solidFill>
                </w14:textFill>
              </w:rPr>
            </w:pPr>
            <w:r>
              <w:rPr>
                <w:rFonts w:ascii="宋体" w:hAnsi="宋体" w:cs="宋体"/>
                <w:color w:val="000000" w:themeColor="text1"/>
                <w:kern w:val="0"/>
                <w:sz w:val="18"/>
                <w:szCs w:val="18"/>
                <w14:textFill>
                  <w14:solidFill>
                    <w14:schemeClr w14:val="tx1"/>
                  </w14:solidFill>
                </w14:textFill>
              </w:rPr>
              <w:t>12,767.72</w:t>
            </w:r>
          </w:p>
        </w:tc>
        <w:tc>
          <w:tcPr>
            <w:tcW w:w="1133" w:type="dxa"/>
            <w:vAlign w:val="center"/>
          </w:tcPr>
          <w:p w14:paraId="4B3888CA">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 50,787.21 </w:t>
            </w:r>
          </w:p>
        </w:tc>
        <w:tc>
          <w:tcPr>
            <w:tcW w:w="1136" w:type="dxa"/>
            <w:vAlign w:val="center"/>
          </w:tcPr>
          <w:p w14:paraId="4B3888CB">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101.66%</w:t>
            </w:r>
          </w:p>
        </w:tc>
        <w:tc>
          <w:tcPr>
            <w:tcW w:w="1133" w:type="dxa"/>
            <w:gridSpan w:val="2"/>
            <w:vAlign w:val="center"/>
          </w:tcPr>
          <w:p w14:paraId="4B3888CC">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w:t>
            </w:r>
          </w:p>
        </w:tc>
        <w:tc>
          <w:tcPr>
            <w:tcW w:w="1274" w:type="dxa"/>
            <w:vAlign w:val="center"/>
          </w:tcPr>
          <w:p w14:paraId="4B3888CD">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 xml:space="preserve">1,651.89 </w:t>
            </w:r>
          </w:p>
        </w:tc>
        <w:tc>
          <w:tcPr>
            <w:tcW w:w="863" w:type="dxa"/>
            <w:vAlign w:val="center"/>
          </w:tcPr>
          <w:p w14:paraId="4B3888CE">
            <w:pPr>
              <w:widowControl/>
              <w:snapToGrid w:val="0"/>
              <w:jc w:val="center"/>
              <w:rPr>
                <w:rFonts w:hint="eastAsia" w:ascii="宋体" w:hAnsi="宋体" w:cs="宋体"/>
                <w:color w:val="000000" w:themeColor="text1"/>
                <w:kern w:val="0"/>
                <w:sz w:val="18"/>
                <w:szCs w:val="18"/>
                <w14:textFill>
                  <w14:solidFill>
                    <w14:schemeClr w14:val="tx1"/>
                  </w14:solidFill>
                </w14:textFill>
              </w:rPr>
            </w:pPr>
          </w:p>
        </w:tc>
        <w:tc>
          <w:tcPr>
            <w:tcW w:w="1122" w:type="dxa"/>
            <w:vAlign w:val="center"/>
          </w:tcPr>
          <w:p w14:paraId="4B3888CF">
            <w:pPr>
              <w:widowControl/>
              <w:snapToGrid w:val="0"/>
              <w:jc w:val="center"/>
              <w:rPr>
                <w:rFonts w:hint="eastAsia" w:ascii="宋体" w:hAnsi="宋体" w:cs="宋体"/>
                <w:color w:val="000000" w:themeColor="text1"/>
                <w:kern w:val="0"/>
                <w:sz w:val="18"/>
                <w:szCs w:val="18"/>
                <w14:textFill>
                  <w14:solidFill>
                    <w14:schemeClr w14:val="tx1"/>
                  </w14:solidFill>
                </w14:textFill>
              </w:rPr>
            </w:pPr>
          </w:p>
        </w:tc>
      </w:tr>
      <w:tr w14:paraId="4B3888D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8D1">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超募资金投向</w:t>
            </w:r>
          </w:p>
        </w:tc>
        <w:tc>
          <w:tcPr>
            <w:tcW w:w="11225" w:type="dxa"/>
            <w:gridSpan w:val="11"/>
            <w:vAlign w:val="center"/>
          </w:tcPr>
          <w:p w14:paraId="4B3888D2">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r>
      <w:tr w14:paraId="4B38892A">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28">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未达到计划进度或预计收益的情况和原因（分具体募投项目）</w:t>
            </w:r>
          </w:p>
        </w:tc>
        <w:tc>
          <w:tcPr>
            <w:tcW w:w="11225" w:type="dxa"/>
            <w:gridSpan w:val="11"/>
            <w:vAlign w:val="center"/>
          </w:tcPr>
          <w:p w14:paraId="538114BB">
            <w:pPr>
              <w:widowControl/>
              <w:snapToGrid w:val="0"/>
              <w:jc w:val="left"/>
              <w:rPr>
                <w:rFonts w:ascii="Arial Narrow" w:hAnsi="Arial Narrow" w:cs="宋体"/>
                <w:color w:val="000000" w:themeColor="text1"/>
                <w:kern w:val="0"/>
                <w:sz w:val="18"/>
                <w:szCs w:val="18"/>
                <w14:textFill>
                  <w14:solidFill>
                    <w14:schemeClr w14:val="tx1"/>
                  </w14:solidFill>
                </w14:textFill>
              </w:rPr>
            </w:pPr>
            <w:r>
              <w:rPr>
                <w:rFonts w:ascii="Arial Narrow" w:hAnsi="Arial Narrow" w:cs="宋体"/>
                <w:color w:val="000000" w:themeColor="text1"/>
                <w:kern w:val="0"/>
                <w:sz w:val="18"/>
                <w:szCs w:val="18"/>
                <w14:textFill>
                  <w14:solidFill>
                    <w14:schemeClr w14:val="tx1"/>
                  </w14:solidFill>
                </w14:textFill>
              </w:rPr>
              <w:t>1、原料药制剂一体化生产基地建设项目：本项目包括投资建设原料药生产基地和制剂生产基地。</w:t>
            </w:r>
          </w:p>
          <w:p w14:paraId="4B4AEB58">
            <w:pPr>
              <w:widowControl/>
              <w:snapToGrid w:val="0"/>
              <w:jc w:val="left"/>
              <w:rPr>
                <w:rFonts w:ascii="Arial Narrow" w:hAnsi="Arial Narrow" w:cs="宋体"/>
                <w:color w:val="000000" w:themeColor="text1"/>
                <w:kern w:val="0"/>
                <w:sz w:val="18"/>
                <w:szCs w:val="18"/>
                <w14:textFill>
                  <w14:solidFill>
                    <w14:schemeClr w14:val="tx1"/>
                  </w14:solidFill>
                </w14:textFill>
              </w:rPr>
            </w:pPr>
            <w:r>
              <w:rPr>
                <w:rFonts w:hint="eastAsia" w:ascii="Arial Narrow" w:hAnsi="Arial Narrow" w:cs="宋体"/>
                <w:color w:val="000000" w:themeColor="text1"/>
                <w:kern w:val="0"/>
                <w:sz w:val="18"/>
                <w:szCs w:val="18"/>
                <w14:textFill>
                  <w14:solidFill>
                    <w14:schemeClr w14:val="tx1"/>
                  </w14:solidFill>
                </w14:textFill>
              </w:rPr>
              <w:t>（1）由全资子公司福建广生堂金塘药业有限公司负责执行的原料药生产基地建设项目已完成建设，目前受原料药项目规模、市场环境及成本效益的综合影响，该项目尚未取得原料药生产许可并进入原料药的生产阶段。为了提升项目经济效益，前述生产基地已完成公司产品水飞蓟宾葡甲胺片原料药起始物料水飞蓟宾的工艺开发，正开展试生产并实现商业化销售。</w:t>
            </w:r>
          </w:p>
          <w:p w14:paraId="51C52D27">
            <w:pPr>
              <w:widowControl/>
              <w:snapToGrid w:val="0"/>
              <w:jc w:val="left"/>
              <w:rPr>
                <w:rFonts w:ascii="Arial Narrow" w:hAnsi="Arial Narrow" w:cs="宋体"/>
                <w:color w:val="000000" w:themeColor="text1"/>
                <w:kern w:val="0"/>
                <w:sz w:val="18"/>
                <w:szCs w:val="18"/>
                <w14:textFill>
                  <w14:solidFill>
                    <w14:schemeClr w14:val="tx1"/>
                  </w14:solidFill>
                </w14:textFill>
              </w:rPr>
            </w:pPr>
            <w:r>
              <w:rPr>
                <w:rFonts w:hint="eastAsia" w:ascii="Arial Narrow" w:hAnsi="Arial Narrow" w:cs="宋体"/>
                <w:color w:val="000000" w:themeColor="text1"/>
                <w:kern w:val="0"/>
                <w:sz w:val="18"/>
                <w:szCs w:val="18"/>
                <w14:textFill>
                  <w14:solidFill>
                    <w14:schemeClr w14:val="tx1"/>
                  </w14:solidFill>
                </w14:textFill>
              </w:rPr>
              <w:t>（2）由广生堂公司负责执行的制剂生产基地建设项目，目前基本已完成建设并投入使用，相关药品的生产工作正根据市场需求及产能状况有序安排且已实现了一定的运营效益。由于相关药品市场推广周期较短，部分药品仍处于市场开拓阶段，产能尚未完全释放，同时叠加固定资产折旧等因素影响，项目效益尚未充分释放。</w:t>
            </w:r>
          </w:p>
          <w:p w14:paraId="2F5CB740">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ascii="Arial Narrow" w:hAnsi="Arial Narrow" w:cs="宋体"/>
                <w:color w:val="000000" w:themeColor="text1"/>
                <w:kern w:val="0"/>
                <w:sz w:val="18"/>
                <w:szCs w:val="18"/>
                <w14:textFill>
                  <w14:solidFill>
                    <w14:schemeClr w14:val="tx1"/>
                  </w14:solidFill>
                </w14:textFill>
              </w:rPr>
              <w:t>2、江苏中兴制剂车间建设项目：结合公司实际产能情况、相关产品的产销情况及未来市场预期，预计现有产能并通过内部挖潜和技改能够满足现阶段及未来一定期间的市场需求</w:t>
            </w:r>
            <w:r>
              <w:rPr>
                <w:rFonts w:hint="eastAsia" w:ascii="Arial Narrow" w:hAnsi="Arial Narrow" w:cs="宋体"/>
                <w:color w:val="000000" w:themeColor="text1"/>
                <w:kern w:val="0"/>
                <w:sz w:val="18"/>
                <w:szCs w:val="18"/>
                <w14:textFill>
                  <w14:solidFill>
                    <w14:schemeClr w14:val="tx1"/>
                  </w14:solidFill>
                </w14:textFill>
              </w:rPr>
              <w:t>。同时，公司近几年持续的创新药研发投入及经营规模的扩大，公司对流动资金的需求不断增加，需要有足够的营运资金作为保障，以增强公司抗风险能力及竞争能力。根据公司创新战略发展和资源综合调度的需求，本着控制风险、审慎投资的原则，公司决定终止并将该项目全部剩余募集资金用于永久补充流动资金。</w:t>
            </w:r>
            <w:r>
              <w:rPr>
                <w:rFonts w:ascii="Arial Narrow" w:hAnsi="Arial Narrow" w:cs="宋体"/>
                <w:color w:val="000000" w:themeColor="text1"/>
                <w:kern w:val="0"/>
                <w:sz w:val="18"/>
                <w:szCs w:val="18"/>
                <w14:textFill>
                  <w14:solidFill>
                    <w14:schemeClr w14:val="tx1"/>
                  </w14:solidFill>
                </w14:textFill>
              </w:rPr>
              <w:t>2023年12月29日，公司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 “江苏中兴制剂车间建设项目”予以终止，并将上述项目终止后剩余的募集资金永久补充流动资金，用于公司日常生产经营及业务发展。本议案在2024年1月15日召开的2024年第一次临时股东大会决议中获得通过。</w:t>
            </w:r>
          </w:p>
        </w:tc>
      </w:tr>
      <w:tr w14:paraId="4B38892D">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2B">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项目可行性发生重大变化的情况说明</w:t>
            </w:r>
          </w:p>
        </w:tc>
        <w:tc>
          <w:tcPr>
            <w:tcW w:w="11225" w:type="dxa"/>
            <w:gridSpan w:val="11"/>
            <w:vAlign w:val="center"/>
          </w:tcPr>
          <w:p w14:paraId="4B38892C">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Arial Narrow" w:hAnsi="Arial Narrow" w:cs="宋体"/>
                <w:color w:val="000000" w:themeColor="text1"/>
                <w:kern w:val="0"/>
                <w:sz w:val="18"/>
                <w:szCs w:val="18"/>
                <w14:textFill>
                  <w14:solidFill>
                    <w14:schemeClr w14:val="tx1"/>
                  </w14:solidFill>
                </w14:textFill>
              </w:rPr>
              <w:t>募投项目建设期内，水飞蓟宾葡甲胺片、参芪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三年一期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且公司抗新冠病毒口服小分子 3CL 蛋白酶抑制剂一类创新药泰中定获批上市销售，公司对流动资金的需求不断增加，需要有足够的营运资金作为保障，以增强公司抗风险能力及竞争能力。综上所述，为提升公司募集资金使用效率，优化资源配置，缓解公司正常经营所需的流动资金压力，降低公司运营风险，根据公司创新战略发展和资源综合调度的需求，本着控制风险、审慎投资的原则，公司决定终止并将该项目全部剩余募集资金用于永久补充流动资金。未来公司将根据市场需求及经营状况，若有需要将使用自有资金进行项目建设。</w:t>
            </w:r>
          </w:p>
        </w:tc>
      </w:tr>
      <w:tr w14:paraId="4B388930">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2E">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超募资金的金额、用途及使用进展情况</w:t>
            </w:r>
          </w:p>
        </w:tc>
        <w:tc>
          <w:tcPr>
            <w:tcW w:w="11225" w:type="dxa"/>
            <w:gridSpan w:val="11"/>
            <w:vAlign w:val="center"/>
          </w:tcPr>
          <w:p w14:paraId="4B38892F">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r>
      <w:tr w14:paraId="4B388933">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31">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募集资金投资项目实施地点变更情况</w:t>
            </w:r>
          </w:p>
        </w:tc>
        <w:tc>
          <w:tcPr>
            <w:tcW w:w="11225" w:type="dxa"/>
            <w:gridSpan w:val="11"/>
            <w:vAlign w:val="center"/>
          </w:tcPr>
          <w:p w14:paraId="4B388932">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r>
      <w:tr w14:paraId="4B388936">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34">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募集资金投资项目实施方式调整情况</w:t>
            </w:r>
          </w:p>
        </w:tc>
        <w:tc>
          <w:tcPr>
            <w:tcW w:w="11225" w:type="dxa"/>
            <w:gridSpan w:val="11"/>
            <w:vAlign w:val="center"/>
          </w:tcPr>
          <w:p w14:paraId="4B388935">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不适用</w:t>
            </w:r>
          </w:p>
        </w:tc>
      </w:tr>
      <w:tr w14:paraId="4B388939">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37">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募集资金投资项目先期投入及置换情况</w:t>
            </w:r>
          </w:p>
        </w:tc>
        <w:tc>
          <w:tcPr>
            <w:tcW w:w="11225" w:type="dxa"/>
            <w:gridSpan w:val="11"/>
            <w:vAlign w:val="center"/>
          </w:tcPr>
          <w:p w14:paraId="0891BCF4">
            <w:pPr>
              <w:widowControl/>
              <w:snapToGrid w:val="0"/>
              <w:jc w:val="left"/>
              <w:rPr>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2021年1月1日至2021年6月30日期间，公司不存在使用募集资金置换前期投入募集资金投资项目的情况。</w:t>
            </w:r>
          </w:p>
          <w:p w14:paraId="5B923795">
            <w:pPr>
              <w:widowControl/>
              <w:snapToGrid w:val="0"/>
              <w:jc w:val="left"/>
              <w:rPr>
                <w:rFonts w:hint="eastAsia" w:ascii="宋体" w:hAnsi="宋体" w:cs="宋体"/>
                <w:color w:val="000000" w:themeColor="text1"/>
                <w:kern w:val="0"/>
                <w:sz w:val="18"/>
                <w:szCs w:val="18"/>
                <w14:textFill>
                  <w14:solidFill>
                    <w14:schemeClr w14:val="tx1"/>
                  </w14:solidFill>
                </w14:textFill>
              </w:rPr>
            </w:pPr>
            <w:r>
              <w:rPr>
                <w:color w:val="000000" w:themeColor="text1"/>
                <w:kern w:val="0"/>
                <w:sz w:val="18"/>
                <w:szCs w:val="18"/>
                <w14:textFill>
                  <w14:solidFill>
                    <w14:schemeClr w14:val="tx1"/>
                  </w14:solidFill>
                </w14:textFill>
              </w:rPr>
              <w:t>2021年8月6日公司召开第四届董事会第五次会议及第四届监事会第五次会议，审议通过了《关于使用募集资金置换已预先投入募投项目的自筹资金的议案》，同意公司以募集资金置换预先投入募投项目的自筹资金53,166,737.48元。大华会计师事务所（特殊普通合伙）对公司以自筹资金预先投入募投项目情况进行了审核，出具了《福建广生堂药业股份有限公司以自筹资金预先投入募集资金投资项目的鉴证报告》大华核字[2021]0010334号。</w:t>
            </w:r>
          </w:p>
        </w:tc>
      </w:tr>
      <w:tr w14:paraId="4B38893C">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3A">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用闲置募集资金暂时补充流动资金情况</w:t>
            </w:r>
          </w:p>
        </w:tc>
        <w:tc>
          <w:tcPr>
            <w:tcW w:w="11225" w:type="dxa"/>
            <w:gridSpan w:val="11"/>
            <w:vAlign w:val="center"/>
          </w:tcPr>
          <w:p w14:paraId="00488527">
            <w:pPr>
              <w:widowControl/>
              <w:snapToGrid w:val="0"/>
              <w:jc w:val="left"/>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1）2022年7月27日，召开第四届董事会第十四次会议和第四届监事会第十三次会议，审议通过了《关于使用部分闲置募集资金暂时补充流动资金的议案》，同意公司使用部分闲置募集资金5,000万元暂时补充流动资金，使用期限自董事会审议通过之日起不超过12个月，到期后将归还至募集资金专户。公司实际使用闲置募集资金 3,500 万元暂时补充流动资金，并已于2023年6月归还至募集资金专户。</w:t>
            </w:r>
          </w:p>
          <w:p w14:paraId="30366B0F">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2）2023年7月13日，公司召开第四届董事会第二十三次会议和第四届监事会第二十一次会议，审议通过《关于使用部分闲置募集资金暂时补充流动资金的议案》，同意公司使用部分闲置募集资金不超过人民币7,000万元（含本数）暂时补充流动资金，使用期限自董事会审议通过之日起不超过12个月，到期前或募集资金投资项目需要时立即归还至募集资金专户。公司实际使用4,500万元用于暂时补充流动资金。并已于2024年1月15日归还至募集资金专户。</w:t>
            </w:r>
          </w:p>
        </w:tc>
      </w:tr>
      <w:tr w14:paraId="4B38893F">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3D">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项目实施出现募集资金结余的金额及原因</w:t>
            </w:r>
          </w:p>
        </w:tc>
        <w:tc>
          <w:tcPr>
            <w:tcW w:w="11225" w:type="dxa"/>
            <w:gridSpan w:val="11"/>
            <w:vAlign w:val="center"/>
          </w:tcPr>
          <w:p w14:paraId="32315CDD">
            <w:pPr>
              <w:widowControl/>
              <w:snapToGrid w:val="0"/>
              <w:jc w:val="left"/>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公司于2024年7月30日召开第五届董事会第二次会议和第五届监事会第二次会议，审议通过了《关于部分募投项目结项并将节余募集资金永久补充流动资金的议案》。公司2020年创业板向特定对象发行A股股票的募集资金投资项目中的“原料药制剂一体化生产基地建设项目”已达到预定可使用状态，满足结项条件，同意公司将该项目节余资金用于永久补充流动资金，同时授权公司管理层及其授权人士负责办理本次专户注销事项。2024年8月16日，本议案在公司2024年第三次临时股东大会决议中获得通过。2024年8月，公司将剩余募集资金（含利息）3,801.74万元划转至公司基本户，其中利息828.80万元。募集资金节余的主要原因为：</w:t>
            </w:r>
          </w:p>
          <w:p w14:paraId="314DAFF2">
            <w:pPr>
              <w:widowControl/>
              <w:snapToGrid w:val="0"/>
              <w:jc w:val="left"/>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1）本次募投项目“原料药制剂一体化生产基地建设项目”结项后节余金额包括尚未支付的工程施工合同质保金等，因该等合同质保金支付时间周期较长，拟将节余金额永久补充流动资金，用于公司日常生产经营，有利于提高资金使用效率，避免资金长期闲置。</w:t>
            </w:r>
          </w:p>
          <w:p w14:paraId="3935D268">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2）在募投项目实施过程中，公司严格遵守募集资金使用的有关规定，本着合理、节约、有效的原则，从项目的实际情况出发，科学审慎地使用募集资金。在保证项目质量和控制实施风险的前提下，加强项目建设各个环节费用的控制、监督和管理，对各项资源进行合理调度和优化，合理降低项目建设成本和费用，节约了募集资金支出。</w:t>
            </w:r>
          </w:p>
        </w:tc>
      </w:tr>
      <w:tr w14:paraId="4B388942">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40">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尚未使用的募集资金用途及去向</w:t>
            </w:r>
          </w:p>
        </w:tc>
        <w:tc>
          <w:tcPr>
            <w:tcW w:w="11225" w:type="dxa"/>
            <w:gridSpan w:val="11"/>
            <w:shd w:val="clear" w:color="auto" w:fill="auto"/>
            <w:vAlign w:val="center"/>
          </w:tcPr>
          <w:p w14:paraId="4B388941">
            <w:pPr>
              <w:widowControl/>
              <w:snapToGrid w:val="0"/>
              <w:jc w:val="left"/>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截止2024年12月31日，募集资金已使用完毕</w:t>
            </w:r>
          </w:p>
        </w:tc>
      </w:tr>
      <w:tr w14:paraId="4B388945">
        <w:tblPrEx>
          <w:tblBorders>
            <w:top w:val="single" w:color="auto" w:sz="12" w:space="0"/>
            <w:left w:val="none" w:color="auto" w:sz="0" w:space="0"/>
            <w:bottom w:val="single" w:color="auto" w:sz="12" w:space="0"/>
            <w:right w:val="none" w:color="auto" w:sz="0" w:space="0"/>
            <w:insideH w:val="dotted" w:color="auto" w:sz="4" w:space="0"/>
            <w:insideV w:val="dotted" w:color="auto" w:sz="4" w:space="0"/>
          </w:tblBorders>
          <w:tblCellMar>
            <w:top w:w="0" w:type="dxa"/>
            <w:left w:w="108" w:type="dxa"/>
            <w:bottom w:w="0" w:type="dxa"/>
            <w:right w:w="108" w:type="dxa"/>
          </w:tblCellMar>
        </w:tblPrEx>
        <w:trPr>
          <w:trHeight w:val="340" w:hRule="atLeast"/>
        </w:trPr>
        <w:tc>
          <w:tcPr>
            <w:tcW w:w="2835" w:type="dxa"/>
            <w:vAlign w:val="center"/>
          </w:tcPr>
          <w:p w14:paraId="4B388943">
            <w:pPr>
              <w:widowControl/>
              <w:snapToGrid w:val="0"/>
              <w:jc w:val="left"/>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募集资金使用及披露中存在的问题或其他情况</w:t>
            </w:r>
          </w:p>
        </w:tc>
        <w:tc>
          <w:tcPr>
            <w:tcW w:w="11225" w:type="dxa"/>
            <w:gridSpan w:val="11"/>
            <w:vAlign w:val="center"/>
          </w:tcPr>
          <w:p w14:paraId="4B388944">
            <w:pPr>
              <w:widowControl/>
              <w:snapToGrid w:val="0"/>
              <w:jc w:val="center"/>
              <w:rPr>
                <w:rFonts w:hint="eastAsia" w:ascii="宋体" w:hAnsi="宋体" w:cs="宋体"/>
                <w:color w:val="000000" w:themeColor="text1"/>
                <w:kern w:val="0"/>
                <w:sz w:val="18"/>
                <w:szCs w:val="18"/>
                <w14:textFill>
                  <w14:solidFill>
                    <w14:schemeClr w14:val="tx1"/>
                  </w14:solidFill>
                </w14:textFill>
              </w:rPr>
            </w:pPr>
            <w:r>
              <w:rPr>
                <w:rFonts w:hint="eastAsia" w:ascii="宋体" w:hAnsi="宋体" w:cs="宋体"/>
                <w:color w:val="000000" w:themeColor="text1"/>
                <w:kern w:val="0"/>
                <w:sz w:val="18"/>
                <w:szCs w:val="18"/>
                <w14:textFill>
                  <w14:solidFill>
                    <w14:schemeClr w14:val="tx1"/>
                  </w14:solidFill>
                </w14:textFill>
              </w:rPr>
              <w:t>无</w:t>
            </w:r>
          </w:p>
        </w:tc>
      </w:tr>
    </w:tbl>
    <w:p w14:paraId="59983A17">
      <w:pPr>
        <w:widowControl/>
        <w:snapToGrid w:val="0"/>
        <w:spacing w:before="120" w:beforeLines="50"/>
        <w:jc w:val="left"/>
        <w:rPr>
          <w:color w:val="000000" w:themeColor="text1"/>
          <w:kern w:val="0"/>
          <w:sz w:val="18"/>
          <w:szCs w:val="18"/>
          <w14:textFill>
            <w14:solidFill>
              <w14:schemeClr w14:val="tx1"/>
            </w14:solidFill>
          </w14:textFill>
        </w:rPr>
      </w:pPr>
      <w:r>
        <w:rPr>
          <w:rFonts w:hint="eastAsia"/>
          <w:color w:val="000000" w:themeColor="text1"/>
          <w:kern w:val="0"/>
          <w:sz w:val="18"/>
          <w:szCs w:val="18"/>
          <w14:textFill>
            <w14:solidFill>
              <w14:schemeClr w14:val="tx1"/>
            </w14:solidFill>
          </w14:textFill>
        </w:rPr>
        <w:t>注1：募投项目“补充流动资金项目”实际投入金额</w:t>
      </w:r>
      <w:r>
        <w:rPr>
          <w:color w:val="000000" w:themeColor="text1"/>
          <w:kern w:val="0"/>
          <w:sz w:val="18"/>
          <w:szCs w:val="18"/>
          <w14:textFill>
            <w14:solidFill>
              <w14:schemeClr w14:val="tx1"/>
            </w14:solidFill>
          </w14:textFill>
        </w:rPr>
        <w:t>26,845.6</w:t>
      </w:r>
      <w:r>
        <w:rPr>
          <w:rFonts w:hint="eastAsia"/>
          <w:color w:val="000000" w:themeColor="text1"/>
          <w:kern w:val="0"/>
          <w:sz w:val="18"/>
          <w:szCs w:val="18"/>
          <w14:textFill>
            <w14:solidFill>
              <w14:schemeClr w14:val="tx1"/>
            </w14:solidFill>
          </w14:textFill>
        </w:rPr>
        <w:t>2万元，高于调整后该项目募集资金承诺投资总额，是因募投项目“原料药制剂一体化生产基地建设项目”结项并将节余募集资金永久补充流动资金所致。</w:t>
      </w:r>
    </w:p>
    <w:p w14:paraId="0771907F">
      <w:pPr>
        <w:rPr>
          <w:rFonts w:hint="eastAsia" w:ascii="宋体" w:hAnsi="宋体"/>
          <w:color w:val="000000" w:themeColor="text1"/>
          <w:szCs w:val="21"/>
          <w14:textFill>
            <w14:solidFill>
              <w14:schemeClr w14:val="tx1"/>
            </w14:solidFill>
          </w14:textFill>
        </w:rPr>
      </w:pPr>
      <w:r>
        <w:rPr>
          <w:rFonts w:hint="eastAsia"/>
          <w:color w:val="000000" w:themeColor="text1"/>
          <w:kern w:val="0"/>
          <w:sz w:val="18"/>
          <w:szCs w:val="18"/>
          <w14:textFill>
            <w14:solidFill>
              <w14:schemeClr w14:val="tx1"/>
            </w14:solidFill>
          </w14:textFill>
        </w:rPr>
        <w:t>注2：截止期末累计募集资金投入</w:t>
      </w:r>
      <w:r>
        <w:rPr>
          <w:color w:val="000000" w:themeColor="text1"/>
          <w:kern w:val="0"/>
          <w:sz w:val="18"/>
          <w:szCs w:val="18"/>
          <w14:textFill>
            <w14:solidFill>
              <w14:schemeClr w14:val="tx1"/>
            </w14:solidFill>
          </w14:textFill>
        </w:rPr>
        <w:t>50,787.21</w:t>
      </w:r>
      <w:r>
        <w:rPr>
          <w:rFonts w:hint="eastAsia"/>
          <w:color w:val="000000" w:themeColor="text1"/>
          <w:kern w:val="0"/>
          <w:sz w:val="18"/>
          <w:szCs w:val="18"/>
          <w14:textFill>
            <w14:solidFill>
              <w14:schemeClr w14:val="tx1"/>
            </w14:solidFill>
          </w14:textFill>
        </w:rPr>
        <w:t>万元，高于调整后募集资金承诺投资总额，是因累计募集资金利息收入扣除银行手续费支出等后的净额828.80万元已作为节余募集资金永久补充流动资金所致。</w:t>
      </w:r>
      <w:r>
        <w:rPr>
          <w:rFonts w:ascii="宋体" w:hAnsi="宋体"/>
          <w:color w:val="000000" w:themeColor="text1"/>
          <w:szCs w:val="21"/>
          <w14:textFill>
            <w14:solidFill>
              <w14:schemeClr w14:val="tx1"/>
            </w14:solidFill>
          </w14:textFill>
        </w:rPr>
        <w:br w:type="page"/>
      </w:r>
    </w:p>
    <w:p w14:paraId="652EFD68">
      <w:pPr>
        <w:tabs>
          <w:tab w:val="left" w:pos="262"/>
          <w:tab w:val="left" w:pos="4253"/>
          <w:tab w:val="left" w:pos="4678"/>
        </w:tabs>
        <w:snapToGrid w:val="0"/>
        <w:spacing w:line="360" w:lineRule="auto"/>
        <w:ind w:right="1680" w:rightChars="800"/>
        <w:jc w:val="left"/>
        <w:rPr>
          <w:rFonts w:hint="eastAsia" w:ascii="宋体" w:hAnsi="宋体"/>
          <w:b/>
          <w:bCs/>
          <w:color w:val="000000" w:themeColor="text1"/>
          <w:szCs w:val="21"/>
          <w14:textFill>
            <w14:solidFill>
              <w14:schemeClr w14:val="tx1"/>
            </w14:solidFill>
          </w14:textFill>
        </w:rPr>
      </w:pPr>
      <w:r>
        <w:rPr>
          <w:rFonts w:hint="eastAsia" w:ascii="宋体" w:hAnsi="宋体"/>
          <w:b/>
          <w:bCs/>
          <w:color w:val="000000" w:themeColor="text1"/>
          <w:szCs w:val="21"/>
          <w14:textFill>
            <w14:solidFill>
              <w14:schemeClr w14:val="tx1"/>
            </w14:solidFill>
          </w14:textFill>
        </w:rPr>
        <w:t>附表2</w:t>
      </w:r>
    </w:p>
    <w:p w14:paraId="56BC6668">
      <w:pPr>
        <w:tabs>
          <w:tab w:val="left" w:pos="262"/>
          <w:tab w:val="left" w:pos="4253"/>
          <w:tab w:val="left" w:pos="4678"/>
        </w:tabs>
        <w:snapToGrid w:val="0"/>
        <w:jc w:val="center"/>
        <w:rPr>
          <w:rFonts w:hint="eastAsia" w:ascii="宋体" w:hAnsi="宋体" w:cs="宋体"/>
          <w:b/>
          <w:bCs/>
          <w:color w:val="000000" w:themeColor="text1"/>
          <w:sz w:val="32"/>
          <w:szCs w:val="32"/>
          <w14:textFill>
            <w14:solidFill>
              <w14:schemeClr w14:val="tx1"/>
            </w14:solidFill>
          </w14:textFill>
        </w:rPr>
      </w:pPr>
      <w:r>
        <w:rPr>
          <w:rFonts w:hint="eastAsia" w:ascii="宋体" w:hAnsi="宋体" w:cs="宋体"/>
          <w:b/>
          <w:bCs/>
          <w:color w:val="000000" w:themeColor="text1"/>
          <w:sz w:val="32"/>
          <w:szCs w:val="32"/>
          <w14:textFill>
            <w14:solidFill>
              <w14:schemeClr w14:val="tx1"/>
            </w14:solidFill>
          </w14:textFill>
        </w:rPr>
        <w:t>变更募集资金投资项目情况表</w:t>
      </w:r>
    </w:p>
    <w:p w14:paraId="4917A0AC">
      <w:pPr>
        <w:snapToGrid w:val="0"/>
        <w:spacing w:before="120" w:beforeLines="50" w:after="120" w:afterLines="50"/>
        <w:ind w:firstLine="200" w:firstLineChars="100"/>
        <w:jc w:val="left"/>
        <w:rPr>
          <w:color w:val="000000" w:themeColor="text1"/>
          <w:kern w:val="0"/>
          <w:sz w:val="20"/>
          <w:szCs w:val="18"/>
          <w14:textFill>
            <w14:solidFill>
              <w14:schemeClr w14:val="tx1"/>
            </w14:solidFill>
          </w14:textFill>
        </w:rPr>
      </w:pPr>
      <w:r>
        <w:rPr>
          <w:color w:val="000000" w:themeColor="text1"/>
          <w:sz w:val="20"/>
          <w14:textFill>
            <w14:solidFill>
              <w14:schemeClr w14:val="tx1"/>
            </w14:solidFill>
          </w14:textFill>
        </w:rPr>
        <w:t>编制单位：</w:t>
      </w:r>
      <w:r>
        <w:rPr>
          <w:color w:val="000000" w:themeColor="text1"/>
          <w:kern w:val="0"/>
          <w:sz w:val="20"/>
          <w:szCs w:val="18"/>
          <w14:textFill>
            <w14:solidFill>
              <w14:schemeClr w14:val="tx1"/>
            </w14:solidFill>
          </w14:textFill>
        </w:rPr>
        <w:t>福建广生堂药业股份有限公司</w:t>
      </w:r>
    </w:p>
    <w:p w14:paraId="14B185A4">
      <w:pPr>
        <w:snapToGrid w:val="0"/>
        <w:ind w:firstLine="200" w:firstLineChars="100"/>
        <w:jc w:val="right"/>
        <w:rPr>
          <w:b/>
          <w:color w:val="000000" w:themeColor="text1"/>
          <w:sz w:val="28"/>
          <w:szCs w:val="28"/>
          <w14:textFill>
            <w14:solidFill>
              <w14:schemeClr w14:val="tx1"/>
            </w14:solidFill>
          </w14:textFill>
        </w:rPr>
      </w:pPr>
      <w:r>
        <w:rPr>
          <w:color w:val="000000" w:themeColor="text1"/>
          <w:sz w:val="20"/>
          <w14:textFill>
            <w14:solidFill>
              <w14:schemeClr w14:val="tx1"/>
            </w14:solidFill>
          </w14:textFill>
        </w:rPr>
        <w:t>金额单位：人民币万元</w:t>
      </w:r>
    </w:p>
    <w:tbl>
      <w:tblPr>
        <w:tblStyle w:val="13"/>
        <w:tblW w:w="13940" w:type="dxa"/>
        <w:tblInd w:w="108" w:type="dxa"/>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Layout w:type="fixed"/>
        <w:tblCellMar>
          <w:top w:w="0" w:type="dxa"/>
          <w:left w:w="108" w:type="dxa"/>
          <w:bottom w:w="0" w:type="dxa"/>
          <w:right w:w="108" w:type="dxa"/>
        </w:tblCellMar>
      </w:tblPr>
      <w:tblGrid>
        <w:gridCol w:w="1307"/>
        <w:gridCol w:w="1417"/>
        <w:gridCol w:w="1418"/>
        <w:gridCol w:w="1433"/>
        <w:gridCol w:w="1394"/>
        <w:gridCol w:w="1394"/>
        <w:gridCol w:w="1394"/>
        <w:gridCol w:w="1394"/>
        <w:gridCol w:w="1394"/>
        <w:gridCol w:w="1395"/>
      </w:tblGrid>
      <w:tr w14:paraId="7151690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0" w:type="dxa"/>
            <w:left w:w="108" w:type="dxa"/>
            <w:bottom w:w="0" w:type="dxa"/>
            <w:right w:w="108" w:type="dxa"/>
          </w:tblCellMar>
        </w:tblPrEx>
        <w:trPr>
          <w:trHeight w:val="200" w:hRule="atLeast"/>
        </w:trPr>
        <w:tc>
          <w:tcPr>
            <w:tcW w:w="1307" w:type="dxa"/>
            <w:shd w:val="clear" w:color="auto" w:fill="FFFFFF" w:themeFill="background1"/>
            <w:vAlign w:val="center"/>
          </w:tcPr>
          <w:p w14:paraId="7960A098">
            <w:pPr>
              <w:spacing w:before="40" w:after="40" w:line="240" w:lineRule="exact"/>
              <w:jc w:val="center"/>
              <w:rPr>
                <w:rFonts w:hint="eastAsia" w:ascii="宋体" w:hAnsi="宋体" w:cs="宋体"/>
                <w:sz w:val="18"/>
                <w:szCs w:val="18"/>
              </w:rPr>
            </w:pPr>
            <w:r>
              <w:rPr>
                <w:rFonts w:ascii="宋体" w:hAnsi="宋体" w:cs="宋体"/>
                <w:sz w:val="18"/>
                <w:szCs w:val="18"/>
              </w:rPr>
              <w:t>变更后的项目</w:t>
            </w:r>
          </w:p>
        </w:tc>
        <w:tc>
          <w:tcPr>
            <w:tcW w:w="1417" w:type="dxa"/>
            <w:shd w:val="clear" w:color="auto" w:fill="FFFFFF" w:themeFill="background1"/>
            <w:vAlign w:val="center"/>
          </w:tcPr>
          <w:p w14:paraId="0AFDD405">
            <w:pPr>
              <w:spacing w:before="40" w:after="40" w:line="240" w:lineRule="exact"/>
              <w:jc w:val="center"/>
              <w:rPr>
                <w:rFonts w:hint="eastAsia" w:ascii="宋体" w:hAnsi="宋体" w:cs="宋体"/>
                <w:sz w:val="18"/>
                <w:szCs w:val="18"/>
              </w:rPr>
            </w:pPr>
            <w:r>
              <w:rPr>
                <w:rFonts w:ascii="宋体" w:hAnsi="宋体" w:cs="宋体"/>
                <w:sz w:val="18"/>
                <w:szCs w:val="18"/>
              </w:rPr>
              <w:t>对应的原承诺项目</w:t>
            </w:r>
          </w:p>
        </w:tc>
        <w:tc>
          <w:tcPr>
            <w:tcW w:w="1418" w:type="dxa"/>
            <w:shd w:val="clear" w:color="auto" w:fill="FFFFFF" w:themeFill="background1"/>
            <w:vAlign w:val="center"/>
          </w:tcPr>
          <w:p w14:paraId="46BB6D67">
            <w:pPr>
              <w:spacing w:before="40" w:after="40" w:line="240" w:lineRule="exact"/>
              <w:jc w:val="center"/>
              <w:rPr>
                <w:rFonts w:hint="eastAsia" w:ascii="宋体" w:hAnsi="宋体" w:cs="宋体"/>
                <w:sz w:val="18"/>
                <w:szCs w:val="18"/>
              </w:rPr>
            </w:pPr>
            <w:r>
              <w:rPr>
                <w:rFonts w:ascii="宋体" w:hAnsi="宋体" w:cs="宋体"/>
                <w:sz w:val="18"/>
                <w:szCs w:val="18"/>
              </w:rPr>
              <w:t>变更后项目拟投入募集资金总额(1)</w:t>
            </w:r>
          </w:p>
        </w:tc>
        <w:tc>
          <w:tcPr>
            <w:tcW w:w="1433" w:type="dxa"/>
            <w:shd w:val="clear" w:color="auto" w:fill="FFFFFF" w:themeFill="background1"/>
            <w:vAlign w:val="center"/>
          </w:tcPr>
          <w:p w14:paraId="1F60DAFE">
            <w:pPr>
              <w:spacing w:before="40" w:after="40" w:line="240" w:lineRule="exact"/>
              <w:jc w:val="center"/>
              <w:rPr>
                <w:rFonts w:hint="eastAsia" w:ascii="宋体" w:hAnsi="宋体" w:cs="宋体"/>
                <w:sz w:val="18"/>
                <w:szCs w:val="18"/>
              </w:rPr>
            </w:pPr>
            <w:r>
              <w:rPr>
                <w:rFonts w:ascii="宋体" w:hAnsi="宋体" w:cs="宋体"/>
                <w:sz w:val="18"/>
                <w:szCs w:val="18"/>
              </w:rPr>
              <w:t>本报告期实际投入金额</w:t>
            </w:r>
          </w:p>
        </w:tc>
        <w:tc>
          <w:tcPr>
            <w:tcW w:w="1394" w:type="dxa"/>
            <w:shd w:val="clear" w:color="auto" w:fill="FFFFFF" w:themeFill="background1"/>
            <w:vAlign w:val="center"/>
          </w:tcPr>
          <w:p w14:paraId="61BDFC31">
            <w:pPr>
              <w:spacing w:before="40" w:after="40" w:line="240" w:lineRule="exact"/>
              <w:jc w:val="center"/>
              <w:rPr>
                <w:rFonts w:hint="eastAsia" w:ascii="宋体" w:hAnsi="宋体" w:cs="宋体"/>
                <w:sz w:val="18"/>
                <w:szCs w:val="18"/>
              </w:rPr>
            </w:pPr>
            <w:r>
              <w:rPr>
                <w:rFonts w:ascii="宋体" w:hAnsi="宋体" w:cs="宋体"/>
                <w:sz w:val="18"/>
                <w:szCs w:val="18"/>
              </w:rPr>
              <w:t>截至期末实际累计投入金额(2)</w:t>
            </w:r>
          </w:p>
        </w:tc>
        <w:tc>
          <w:tcPr>
            <w:tcW w:w="1394" w:type="dxa"/>
            <w:shd w:val="clear" w:color="auto" w:fill="FFFFFF" w:themeFill="background1"/>
            <w:vAlign w:val="center"/>
          </w:tcPr>
          <w:p w14:paraId="5080CD4D">
            <w:pPr>
              <w:spacing w:before="40" w:after="40" w:line="240" w:lineRule="exact"/>
              <w:jc w:val="center"/>
              <w:rPr>
                <w:rFonts w:hint="eastAsia" w:ascii="宋体" w:hAnsi="宋体" w:cs="宋体"/>
                <w:sz w:val="18"/>
                <w:szCs w:val="18"/>
              </w:rPr>
            </w:pPr>
            <w:r>
              <w:rPr>
                <w:rFonts w:ascii="宋体" w:hAnsi="宋体" w:cs="宋体"/>
                <w:sz w:val="18"/>
                <w:szCs w:val="18"/>
              </w:rPr>
              <w:t>截至期末投资进度(3)=(2)/(1)</w:t>
            </w:r>
          </w:p>
        </w:tc>
        <w:tc>
          <w:tcPr>
            <w:tcW w:w="1394" w:type="dxa"/>
            <w:shd w:val="clear" w:color="auto" w:fill="FFFFFF" w:themeFill="background1"/>
            <w:vAlign w:val="center"/>
          </w:tcPr>
          <w:p w14:paraId="7850D338">
            <w:pPr>
              <w:spacing w:before="40" w:after="40" w:line="240" w:lineRule="exact"/>
              <w:jc w:val="center"/>
              <w:rPr>
                <w:rFonts w:hint="eastAsia" w:ascii="宋体" w:hAnsi="宋体" w:cs="宋体"/>
                <w:sz w:val="18"/>
                <w:szCs w:val="18"/>
              </w:rPr>
            </w:pPr>
            <w:r>
              <w:rPr>
                <w:rFonts w:ascii="宋体" w:hAnsi="宋体" w:cs="宋体"/>
                <w:sz w:val="18"/>
                <w:szCs w:val="18"/>
              </w:rPr>
              <w:t>项目达到预定可使用状态日期</w:t>
            </w:r>
          </w:p>
        </w:tc>
        <w:tc>
          <w:tcPr>
            <w:tcW w:w="1394" w:type="dxa"/>
            <w:shd w:val="clear" w:color="auto" w:fill="FFFFFF" w:themeFill="background1"/>
            <w:vAlign w:val="center"/>
          </w:tcPr>
          <w:p w14:paraId="4FC3F9CA">
            <w:pPr>
              <w:spacing w:before="40" w:after="40" w:line="240" w:lineRule="exact"/>
              <w:jc w:val="center"/>
              <w:rPr>
                <w:rFonts w:hint="eastAsia" w:ascii="宋体" w:hAnsi="宋体" w:cs="宋体"/>
                <w:sz w:val="18"/>
                <w:szCs w:val="18"/>
              </w:rPr>
            </w:pPr>
            <w:r>
              <w:rPr>
                <w:rFonts w:ascii="宋体" w:hAnsi="宋体" w:cs="宋体"/>
                <w:sz w:val="18"/>
                <w:szCs w:val="18"/>
              </w:rPr>
              <w:t>本报告期实现的效益</w:t>
            </w:r>
          </w:p>
        </w:tc>
        <w:tc>
          <w:tcPr>
            <w:tcW w:w="1394" w:type="dxa"/>
            <w:shd w:val="clear" w:color="auto" w:fill="FFFFFF" w:themeFill="background1"/>
            <w:vAlign w:val="center"/>
          </w:tcPr>
          <w:p w14:paraId="2C528A55">
            <w:pPr>
              <w:spacing w:before="40" w:after="40" w:line="240" w:lineRule="exact"/>
              <w:jc w:val="center"/>
              <w:rPr>
                <w:rFonts w:hint="eastAsia" w:ascii="宋体" w:hAnsi="宋体" w:cs="宋体"/>
                <w:sz w:val="18"/>
                <w:szCs w:val="18"/>
              </w:rPr>
            </w:pPr>
            <w:r>
              <w:rPr>
                <w:rFonts w:ascii="宋体" w:hAnsi="宋体" w:cs="宋体"/>
                <w:sz w:val="18"/>
                <w:szCs w:val="18"/>
              </w:rPr>
              <w:t>是否达到预计效益</w:t>
            </w:r>
          </w:p>
        </w:tc>
        <w:tc>
          <w:tcPr>
            <w:tcW w:w="1395" w:type="dxa"/>
            <w:shd w:val="clear" w:color="auto" w:fill="FFFFFF" w:themeFill="background1"/>
            <w:vAlign w:val="center"/>
          </w:tcPr>
          <w:p w14:paraId="7591B172">
            <w:pPr>
              <w:spacing w:before="40" w:after="40" w:line="240" w:lineRule="exact"/>
              <w:jc w:val="center"/>
              <w:rPr>
                <w:rFonts w:hint="eastAsia" w:ascii="宋体" w:hAnsi="宋体" w:cs="宋体"/>
                <w:sz w:val="18"/>
                <w:szCs w:val="18"/>
              </w:rPr>
            </w:pPr>
            <w:r>
              <w:rPr>
                <w:rFonts w:ascii="宋体" w:hAnsi="宋体" w:cs="宋体"/>
                <w:sz w:val="18"/>
                <w:szCs w:val="18"/>
              </w:rPr>
              <w:t>变更后的项目可行性是否发生重大变化</w:t>
            </w:r>
          </w:p>
        </w:tc>
      </w:tr>
      <w:tr w14:paraId="08543D0B">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0" w:type="dxa"/>
            <w:left w:w="108" w:type="dxa"/>
            <w:bottom w:w="0" w:type="dxa"/>
            <w:right w:w="108" w:type="dxa"/>
          </w:tblCellMar>
        </w:tblPrEx>
        <w:trPr>
          <w:trHeight w:val="200" w:hRule="atLeast"/>
        </w:trPr>
        <w:tc>
          <w:tcPr>
            <w:tcW w:w="1307" w:type="dxa"/>
            <w:shd w:val="clear" w:color="auto" w:fill="FFFFFF" w:themeFill="background1"/>
            <w:vAlign w:val="center"/>
          </w:tcPr>
          <w:p w14:paraId="5B384E06">
            <w:pPr>
              <w:spacing w:line="240" w:lineRule="exact"/>
              <w:rPr>
                <w:rFonts w:hint="eastAsia" w:ascii="宋体" w:hAnsi="宋体" w:cs="宋体"/>
                <w:sz w:val="18"/>
                <w:szCs w:val="18"/>
              </w:rPr>
            </w:pPr>
            <w:r>
              <w:rPr>
                <w:rFonts w:ascii="宋体" w:hAnsi="宋体" w:cs="宋体"/>
                <w:sz w:val="18"/>
                <w:szCs w:val="18"/>
              </w:rPr>
              <w:t>永久补充流动资金</w:t>
            </w:r>
          </w:p>
        </w:tc>
        <w:tc>
          <w:tcPr>
            <w:tcW w:w="1417" w:type="dxa"/>
            <w:shd w:val="clear" w:color="auto" w:fill="FFFFFF" w:themeFill="background1"/>
            <w:vAlign w:val="center"/>
          </w:tcPr>
          <w:p w14:paraId="1A161379">
            <w:pPr>
              <w:spacing w:line="240" w:lineRule="exact"/>
              <w:rPr>
                <w:rFonts w:hint="eastAsia" w:ascii="宋体" w:hAnsi="宋体" w:cs="宋体"/>
                <w:sz w:val="18"/>
                <w:szCs w:val="18"/>
              </w:rPr>
            </w:pPr>
            <w:r>
              <w:rPr>
                <w:rFonts w:ascii="宋体" w:hAnsi="宋体" w:cs="宋体"/>
                <w:sz w:val="18"/>
                <w:szCs w:val="18"/>
              </w:rPr>
              <w:t>江苏中兴制剂车间建设项目</w:t>
            </w:r>
          </w:p>
        </w:tc>
        <w:tc>
          <w:tcPr>
            <w:tcW w:w="1418" w:type="dxa"/>
            <w:shd w:val="clear" w:color="auto" w:fill="FFFFFF" w:themeFill="background1"/>
            <w:vAlign w:val="center"/>
          </w:tcPr>
          <w:p w14:paraId="5BF5D3E2">
            <w:pPr>
              <w:spacing w:line="240" w:lineRule="exact"/>
              <w:jc w:val="right"/>
              <w:rPr>
                <w:rFonts w:hint="eastAsia" w:ascii="宋体" w:hAnsi="宋体" w:cs="宋体"/>
                <w:sz w:val="18"/>
                <w:szCs w:val="18"/>
              </w:rPr>
            </w:pPr>
            <w:r>
              <w:rPr>
                <w:rFonts w:ascii="宋体" w:hAnsi="宋体" w:cs="宋体"/>
                <w:sz w:val="18"/>
                <w:szCs w:val="18"/>
              </w:rPr>
              <w:t>23,043.87</w:t>
            </w:r>
          </w:p>
        </w:tc>
        <w:tc>
          <w:tcPr>
            <w:tcW w:w="1433" w:type="dxa"/>
            <w:shd w:val="clear" w:color="auto" w:fill="FFFFFF" w:themeFill="background1"/>
            <w:vAlign w:val="center"/>
          </w:tcPr>
          <w:p w14:paraId="00CE7785">
            <w:pPr>
              <w:spacing w:line="240" w:lineRule="exact"/>
              <w:jc w:val="right"/>
              <w:rPr>
                <w:rFonts w:hint="eastAsia" w:ascii="宋体" w:hAnsi="宋体" w:cs="宋体"/>
                <w:sz w:val="18"/>
                <w:szCs w:val="18"/>
              </w:rPr>
            </w:pPr>
            <w:r>
              <w:rPr>
                <w:rFonts w:hint="eastAsia" w:ascii="宋体" w:hAnsi="宋体" w:cs="宋体"/>
                <w:sz w:val="18"/>
                <w:szCs w:val="18"/>
              </w:rPr>
              <w:t>8,510.52</w:t>
            </w:r>
            <w:r>
              <w:rPr>
                <w:rFonts w:ascii="宋体" w:hAnsi="宋体" w:cs="宋体"/>
                <w:sz w:val="18"/>
                <w:szCs w:val="18"/>
              </w:rPr>
              <w:t xml:space="preserve"> </w:t>
            </w:r>
          </w:p>
        </w:tc>
        <w:tc>
          <w:tcPr>
            <w:tcW w:w="1394" w:type="dxa"/>
            <w:shd w:val="clear" w:color="auto" w:fill="FFFFFF" w:themeFill="background1"/>
            <w:vAlign w:val="center"/>
          </w:tcPr>
          <w:p w14:paraId="0BCBEACF">
            <w:pPr>
              <w:spacing w:line="240" w:lineRule="exact"/>
              <w:jc w:val="right"/>
              <w:rPr>
                <w:rFonts w:hint="eastAsia" w:ascii="宋体" w:hAnsi="宋体" w:cs="宋体"/>
                <w:sz w:val="18"/>
                <w:szCs w:val="18"/>
              </w:rPr>
            </w:pPr>
            <w:r>
              <w:rPr>
                <w:rFonts w:ascii="宋体" w:hAnsi="宋体" w:cs="宋体"/>
                <w:sz w:val="18"/>
                <w:szCs w:val="18"/>
              </w:rPr>
              <w:t xml:space="preserve"> 26,845.61 </w:t>
            </w:r>
          </w:p>
        </w:tc>
        <w:tc>
          <w:tcPr>
            <w:tcW w:w="1394" w:type="dxa"/>
            <w:shd w:val="clear" w:color="auto" w:fill="FFFFFF" w:themeFill="background1"/>
            <w:vAlign w:val="center"/>
          </w:tcPr>
          <w:p w14:paraId="28FBB13D">
            <w:pPr>
              <w:spacing w:line="240" w:lineRule="exact"/>
              <w:jc w:val="right"/>
              <w:rPr>
                <w:rFonts w:hint="eastAsia" w:ascii="宋体" w:hAnsi="宋体" w:cs="宋体"/>
                <w:sz w:val="18"/>
                <w:szCs w:val="18"/>
              </w:rPr>
            </w:pPr>
            <w:r>
              <w:rPr>
                <w:rFonts w:ascii="宋体" w:hAnsi="宋体" w:cs="宋体"/>
                <w:sz w:val="18"/>
                <w:szCs w:val="18"/>
              </w:rPr>
              <w:t>1</w:t>
            </w:r>
            <w:r>
              <w:rPr>
                <w:rFonts w:hint="eastAsia" w:ascii="宋体" w:hAnsi="宋体" w:cs="宋体"/>
                <w:sz w:val="18"/>
                <w:szCs w:val="18"/>
              </w:rPr>
              <w:t>16</w:t>
            </w:r>
            <w:r>
              <w:rPr>
                <w:rFonts w:ascii="宋体" w:hAnsi="宋体" w:cs="宋体"/>
                <w:sz w:val="18"/>
                <w:szCs w:val="18"/>
              </w:rPr>
              <w:t>.</w:t>
            </w:r>
            <w:r>
              <w:rPr>
                <w:rFonts w:hint="eastAsia" w:ascii="宋体" w:hAnsi="宋体" w:cs="宋体"/>
                <w:sz w:val="18"/>
                <w:szCs w:val="18"/>
              </w:rPr>
              <w:t>5</w:t>
            </w:r>
            <w:r>
              <w:rPr>
                <w:rFonts w:ascii="宋体" w:hAnsi="宋体" w:cs="宋体"/>
                <w:sz w:val="18"/>
                <w:szCs w:val="18"/>
              </w:rPr>
              <w:t>0%</w:t>
            </w:r>
          </w:p>
        </w:tc>
        <w:tc>
          <w:tcPr>
            <w:tcW w:w="1394" w:type="dxa"/>
            <w:shd w:val="clear" w:color="auto" w:fill="FFFFFF" w:themeFill="background1"/>
            <w:vAlign w:val="center"/>
          </w:tcPr>
          <w:p w14:paraId="5ACB2C51">
            <w:pPr>
              <w:spacing w:line="240" w:lineRule="exact"/>
              <w:jc w:val="center"/>
              <w:rPr>
                <w:rFonts w:hint="eastAsia" w:ascii="宋体" w:hAnsi="宋体" w:cs="宋体"/>
                <w:sz w:val="18"/>
                <w:szCs w:val="18"/>
              </w:rPr>
            </w:pPr>
            <w:r>
              <w:rPr>
                <w:rFonts w:hint="eastAsia" w:ascii="宋体" w:hAnsi="宋体" w:cs="宋体"/>
                <w:sz w:val="18"/>
                <w:szCs w:val="18"/>
              </w:rPr>
              <w:t>不适用</w:t>
            </w:r>
          </w:p>
        </w:tc>
        <w:tc>
          <w:tcPr>
            <w:tcW w:w="1394" w:type="dxa"/>
            <w:shd w:val="clear" w:color="auto" w:fill="FFFFFF" w:themeFill="background1"/>
            <w:vAlign w:val="center"/>
          </w:tcPr>
          <w:p w14:paraId="3F6FF5A2">
            <w:pPr>
              <w:spacing w:line="240" w:lineRule="exact"/>
              <w:jc w:val="center"/>
              <w:rPr>
                <w:rFonts w:hint="eastAsia" w:ascii="宋体" w:hAnsi="宋体" w:cs="宋体"/>
                <w:sz w:val="18"/>
                <w:szCs w:val="18"/>
              </w:rPr>
            </w:pPr>
            <w:r>
              <w:rPr>
                <w:rFonts w:hint="eastAsia" w:ascii="宋体" w:hAnsi="宋体" w:cs="宋体"/>
                <w:sz w:val="18"/>
                <w:szCs w:val="18"/>
              </w:rPr>
              <w:t>不适用</w:t>
            </w:r>
          </w:p>
        </w:tc>
        <w:tc>
          <w:tcPr>
            <w:tcW w:w="1394" w:type="dxa"/>
            <w:shd w:val="clear" w:color="auto" w:fill="FFFFFF" w:themeFill="background1"/>
            <w:vAlign w:val="center"/>
          </w:tcPr>
          <w:p w14:paraId="452F0DAF">
            <w:pPr>
              <w:spacing w:line="240" w:lineRule="exact"/>
              <w:jc w:val="center"/>
              <w:rPr>
                <w:rFonts w:hint="eastAsia" w:ascii="宋体" w:hAnsi="宋体" w:cs="宋体"/>
                <w:sz w:val="18"/>
                <w:szCs w:val="18"/>
              </w:rPr>
            </w:pPr>
            <w:r>
              <w:rPr>
                <w:rFonts w:ascii="宋体" w:hAnsi="宋体" w:cs="宋体"/>
                <w:sz w:val="18"/>
                <w:szCs w:val="18"/>
              </w:rPr>
              <w:t>不适用</w:t>
            </w:r>
          </w:p>
        </w:tc>
        <w:tc>
          <w:tcPr>
            <w:tcW w:w="1395" w:type="dxa"/>
            <w:shd w:val="clear" w:color="auto" w:fill="FFFFFF" w:themeFill="background1"/>
            <w:vAlign w:val="center"/>
          </w:tcPr>
          <w:p w14:paraId="392CD781">
            <w:pPr>
              <w:spacing w:line="240" w:lineRule="exact"/>
              <w:jc w:val="center"/>
              <w:rPr>
                <w:rFonts w:hint="eastAsia" w:ascii="宋体" w:hAnsi="宋体" w:cs="宋体"/>
                <w:sz w:val="18"/>
                <w:szCs w:val="18"/>
              </w:rPr>
            </w:pPr>
            <w:r>
              <w:rPr>
                <w:rFonts w:hint="eastAsia" w:ascii="宋体" w:hAnsi="宋体" w:cs="宋体"/>
                <w:sz w:val="18"/>
                <w:szCs w:val="18"/>
              </w:rPr>
              <w:t>不适用</w:t>
            </w:r>
          </w:p>
        </w:tc>
      </w:tr>
      <w:tr w14:paraId="5CB5F7F3">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0" w:type="dxa"/>
            <w:left w:w="108" w:type="dxa"/>
            <w:bottom w:w="0" w:type="dxa"/>
            <w:right w:w="108" w:type="dxa"/>
          </w:tblCellMar>
        </w:tblPrEx>
        <w:trPr>
          <w:trHeight w:val="200" w:hRule="atLeast"/>
        </w:trPr>
        <w:tc>
          <w:tcPr>
            <w:tcW w:w="1307" w:type="dxa"/>
            <w:shd w:val="clear" w:color="auto" w:fill="FFFFFF" w:themeFill="background1"/>
            <w:vAlign w:val="center"/>
          </w:tcPr>
          <w:p w14:paraId="22B685EC">
            <w:pPr>
              <w:spacing w:before="40" w:after="40" w:line="240" w:lineRule="exact"/>
              <w:rPr>
                <w:rFonts w:hint="eastAsia" w:ascii="宋体" w:hAnsi="宋体" w:cs="宋体"/>
                <w:sz w:val="18"/>
                <w:szCs w:val="18"/>
              </w:rPr>
            </w:pPr>
            <w:r>
              <w:rPr>
                <w:rFonts w:ascii="宋体" w:hAnsi="宋体" w:cs="宋体"/>
                <w:sz w:val="18"/>
                <w:szCs w:val="18"/>
              </w:rPr>
              <w:t>合计</w:t>
            </w:r>
          </w:p>
        </w:tc>
        <w:tc>
          <w:tcPr>
            <w:tcW w:w="1417" w:type="dxa"/>
            <w:shd w:val="clear" w:color="auto" w:fill="FFFFFF" w:themeFill="background1"/>
            <w:vAlign w:val="center"/>
          </w:tcPr>
          <w:p w14:paraId="4F3C67AE">
            <w:pPr>
              <w:spacing w:before="40" w:after="40" w:line="240" w:lineRule="exact"/>
              <w:jc w:val="center"/>
              <w:rPr>
                <w:rFonts w:hint="eastAsia" w:ascii="宋体" w:hAnsi="宋体" w:cs="宋体"/>
                <w:sz w:val="18"/>
                <w:szCs w:val="18"/>
              </w:rPr>
            </w:pPr>
            <w:r>
              <w:rPr>
                <w:rFonts w:ascii="宋体" w:hAnsi="宋体" w:cs="宋体"/>
                <w:sz w:val="18"/>
                <w:szCs w:val="18"/>
              </w:rPr>
              <w:t>--</w:t>
            </w:r>
          </w:p>
        </w:tc>
        <w:tc>
          <w:tcPr>
            <w:tcW w:w="1418" w:type="dxa"/>
            <w:shd w:val="clear" w:color="auto" w:fill="FFFFFF" w:themeFill="background1"/>
            <w:vAlign w:val="center"/>
          </w:tcPr>
          <w:p w14:paraId="5B6259D9">
            <w:pPr>
              <w:spacing w:line="240" w:lineRule="exact"/>
              <w:jc w:val="right"/>
              <w:rPr>
                <w:rFonts w:hint="eastAsia" w:ascii="宋体" w:hAnsi="宋体" w:cs="宋体"/>
                <w:sz w:val="18"/>
                <w:szCs w:val="18"/>
              </w:rPr>
            </w:pPr>
            <w:r>
              <w:rPr>
                <w:rFonts w:ascii="宋体" w:hAnsi="宋体" w:cs="宋体"/>
                <w:sz w:val="18"/>
                <w:szCs w:val="18"/>
              </w:rPr>
              <w:t>23,043.87</w:t>
            </w:r>
          </w:p>
        </w:tc>
        <w:tc>
          <w:tcPr>
            <w:tcW w:w="1433" w:type="dxa"/>
            <w:shd w:val="clear" w:color="auto" w:fill="FFFFFF" w:themeFill="background1"/>
            <w:vAlign w:val="center"/>
          </w:tcPr>
          <w:p w14:paraId="671DB94A">
            <w:pPr>
              <w:spacing w:line="240" w:lineRule="exact"/>
              <w:jc w:val="right"/>
              <w:rPr>
                <w:rFonts w:hint="eastAsia" w:ascii="宋体" w:hAnsi="宋体" w:cs="宋体"/>
                <w:sz w:val="18"/>
                <w:szCs w:val="18"/>
              </w:rPr>
            </w:pPr>
            <w:r>
              <w:rPr>
                <w:rFonts w:ascii="宋体" w:hAnsi="宋体" w:cs="宋体"/>
                <w:sz w:val="18"/>
                <w:szCs w:val="18"/>
              </w:rPr>
              <w:t xml:space="preserve"> </w:t>
            </w:r>
            <w:r>
              <w:rPr>
                <w:rFonts w:hint="eastAsia" w:ascii="宋体" w:hAnsi="宋体" w:cs="宋体"/>
                <w:sz w:val="18"/>
                <w:szCs w:val="18"/>
              </w:rPr>
              <w:t>8,510.52</w:t>
            </w:r>
            <w:r>
              <w:rPr>
                <w:rFonts w:ascii="宋体" w:hAnsi="宋体" w:cs="宋体"/>
                <w:sz w:val="18"/>
                <w:szCs w:val="18"/>
              </w:rPr>
              <w:t xml:space="preserve"> </w:t>
            </w:r>
          </w:p>
        </w:tc>
        <w:tc>
          <w:tcPr>
            <w:tcW w:w="1394" w:type="dxa"/>
            <w:shd w:val="clear" w:color="auto" w:fill="FFFFFF" w:themeFill="background1"/>
            <w:vAlign w:val="center"/>
          </w:tcPr>
          <w:p w14:paraId="7A5A3574">
            <w:pPr>
              <w:spacing w:line="240" w:lineRule="exact"/>
              <w:jc w:val="right"/>
              <w:rPr>
                <w:rFonts w:hint="eastAsia" w:ascii="宋体" w:hAnsi="宋体" w:cs="宋体"/>
                <w:sz w:val="18"/>
                <w:szCs w:val="18"/>
              </w:rPr>
            </w:pPr>
            <w:r>
              <w:rPr>
                <w:rFonts w:ascii="宋体" w:hAnsi="宋体" w:cs="宋体"/>
                <w:sz w:val="18"/>
                <w:szCs w:val="18"/>
              </w:rPr>
              <w:t xml:space="preserve"> 26,845.61 </w:t>
            </w:r>
          </w:p>
        </w:tc>
        <w:tc>
          <w:tcPr>
            <w:tcW w:w="1394" w:type="dxa"/>
            <w:shd w:val="clear" w:color="auto" w:fill="FFFFFF" w:themeFill="background1"/>
            <w:vAlign w:val="center"/>
          </w:tcPr>
          <w:p w14:paraId="71C1A0B8">
            <w:pPr>
              <w:spacing w:before="40" w:after="40" w:line="240" w:lineRule="exact"/>
              <w:jc w:val="right"/>
              <w:rPr>
                <w:rFonts w:hint="eastAsia" w:ascii="宋体" w:hAnsi="宋体" w:cs="宋体"/>
                <w:sz w:val="18"/>
                <w:szCs w:val="18"/>
              </w:rPr>
            </w:pPr>
            <w:r>
              <w:rPr>
                <w:rFonts w:hint="eastAsia" w:ascii="宋体" w:hAnsi="宋体" w:cs="宋体"/>
                <w:sz w:val="18"/>
                <w:szCs w:val="18"/>
              </w:rPr>
              <w:t>116.50%</w:t>
            </w:r>
          </w:p>
        </w:tc>
        <w:tc>
          <w:tcPr>
            <w:tcW w:w="1394" w:type="dxa"/>
            <w:shd w:val="clear" w:color="auto" w:fill="FFFFFF" w:themeFill="background1"/>
            <w:vAlign w:val="center"/>
          </w:tcPr>
          <w:p w14:paraId="2C3F9D2B">
            <w:pPr>
              <w:spacing w:before="40" w:after="40" w:line="240" w:lineRule="exact"/>
              <w:jc w:val="center"/>
              <w:rPr>
                <w:rFonts w:hint="eastAsia" w:ascii="宋体" w:hAnsi="宋体" w:cs="宋体"/>
                <w:sz w:val="18"/>
                <w:szCs w:val="18"/>
              </w:rPr>
            </w:pPr>
            <w:r>
              <w:rPr>
                <w:rFonts w:ascii="宋体" w:hAnsi="宋体" w:cs="宋体"/>
                <w:sz w:val="18"/>
                <w:szCs w:val="18"/>
              </w:rPr>
              <w:t>--</w:t>
            </w:r>
          </w:p>
        </w:tc>
        <w:tc>
          <w:tcPr>
            <w:tcW w:w="1394" w:type="dxa"/>
            <w:shd w:val="clear" w:color="auto" w:fill="FFFFFF" w:themeFill="background1"/>
            <w:vAlign w:val="center"/>
          </w:tcPr>
          <w:p w14:paraId="1F7D4ADF">
            <w:pPr>
              <w:spacing w:line="240" w:lineRule="exact"/>
              <w:jc w:val="center"/>
              <w:rPr>
                <w:rFonts w:hint="eastAsia" w:ascii="宋体" w:hAnsi="宋体" w:cs="宋体"/>
                <w:sz w:val="18"/>
                <w:szCs w:val="18"/>
              </w:rPr>
            </w:pPr>
            <w:r>
              <w:rPr>
                <w:rFonts w:ascii="宋体" w:hAnsi="宋体" w:cs="宋体"/>
                <w:sz w:val="18"/>
                <w:szCs w:val="18"/>
              </w:rPr>
              <w:t>--</w:t>
            </w:r>
          </w:p>
        </w:tc>
        <w:tc>
          <w:tcPr>
            <w:tcW w:w="1394" w:type="dxa"/>
            <w:shd w:val="clear" w:color="auto" w:fill="FFFFFF" w:themeFill="background1"/>
            <w:vAlign w:val="center"/>
          </w:tcPr>
          <w:p w14:paraId="24AE1518">
            <w:pPr>
              <w:spacing w:before="40" w:after="40" w:line="240" w:lineRule="exact"/>
              <w:jc w:val="center"/>
              <w:rPr>
                <w:rFonts w:hint="eastAsia" w:ascii="宋体" w:hAnsi="宋体" w:cs="宋体"/>
                <w:sz w:val="18"/>
                <w:szCs w:val="18"/>
              </w:rPr>
            </w:pPr>
            <w:r>
              <w:rPr>
                <w:rFonts w:ascii="宋体" w:hAnsi="宋体" w:cs="宋体"/>
                <w:sz w:val="18"/>
                <w:szCs w:val="18"/>
              </w:rPr>
              <w:t>--</w:t>
            </w:r>
          </w:p>
        </w:tc>
        <w:tc>
          <w:tcPr>
            <w:tcW w:w="1395" w:type="dxa"/>
            <w:shd w:val="clear" w:color="auto" w:fill="FFFFFF" w:themeFill="background1"/>
            <w:vAlign w:val="center"/>
          </w:tcPr>
          <w:p w14:paraId="456C0984">
            <w:pPr>
              <w:spacing w:before="40" w:after="40" w:line="240" w:lineRule="exact"/>
              <w:jc w:val="center"/>
              <w:rPr>
                <w:rFonts w:hint="eastAsia" w:ascii="宋体" w:hAnsi="宋体" w:cs="宋体"/>
                <w:sz w:val="18"/>
                <w:szCs w:val="18"/>
              </w:rPr>
            </w:pPr>
            <w:r>
              <w:rPr>
                <w:rFonts w:ascii="宋体" w:hAnsi="宋体" w:cs="宋体"/>
                <w:sz w:val="18"/>
                <w:szCs w:val="18"/>
              </w:rPr>
              <w:t>--</w:t>
            </w:r>
          </w:p>
        </w:tc>
      </w:tr>
      <w:tr w14:paraId="729E13FF">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0" w:type="dxa"/>
            <w:left w:w="108" w:type="dxa"/>
            <w:bottom w:w="0" w:type="dxa"/>
            <w:right w:w="108" w:type="dxa"/>
          </w:tblCellMar>
        </w:tblPrEx>
        <w:trPr>
          <w:trHeight w:val="200" w:hRule="atLeast"/>
        </w:trPr>
        <w:tc>
          <w:tcPr>
            <w:tcW w:w="4142" w:type="dxa"/>
            <w:gridSpan w:val="3"/>
            <w:shd w:val="clear" w:color="auto" w:fill="FFFFFF" w:themeFill="background1"/>
            <w:vAlign w:val="center"/>
          </w:tcPr>
          <w:p w14:paraId="4BF60DCD">
            <w:pPr>
              <w:spacing w:before="40" w:after="40" w:line="240" w:lineRule="exact"/>
              <w:rPr>
                <w:rFonts w:hint="eastAsia" w:ascii="宋体" w:hAnsi="宋体" w:cs="宋体"/>
                <w:sz w:val="18"/>
                <w:szCs w:val="18"/>
              </w:rPr>
            </w:pPr>
            <w:r>
              <w:rPr>
                <w:rFonts w:ascii="宋体" w:hAnsi="宋体" w:cs="宋体"/>
                <w:sz w:val="18"/>
                <w:szCs w:val="18"/>
              </w:rPr>
              <w:t>变更原因、决策程序及信息披露情况说明(分具体项目)</w:t>
            </w:r>
          </w:p>
        </w:tc>
        <w:tc>
          <w:tcPr>
            <w:tcW w:w="9798" w:type="dxa"/>
            <w:gridSpan w:val="7"/>
            <w:shd w:val="clear" w:color="auto" w:fill="FFFFFF" w:themeFill="background1"/>
            <w:vAlign w:val="center"/>
          </w:tcPr>
          <w:p w14:paraId="397C5A39">
            <w:pPr>
              <w:spacing w:line="240" w:lineRule="exact"/>
              <w:jc w:val="left"/>
              <w:rPr>
                <w:rFonts w:hint="eastAsia" w:ascii="宋体" w:hAnsi="宋体" w:cs="宋体"/>
                <w:sz w:val="18"/>
                <w:szCs w:val="18"/>
              </w:rPr>
            </w:pPr>
            <w:r>
              <w:rPr>
                <w:rFonts w:ascii="宋体" w:hAnsi="宋体" w:cs="宋体"/>
                <w:sz w:val="18"/>
                <w:szCs w:val="18"/>
              </w:rPr>
              <w:t>公司于2023年12月29日召开第四届董事会第二十七次会议和第四届监事会第二十四次会议，审议通过了《关于终止部分募集资金投资项目并将剩余募集资金永久补充流动资金的议案》，为提高募集资金使用效率，降低募集资金投资风险，根据公司募投项目的实际进展情况及市场环境变化，同意公司对向特定对象发行股票募集资金投资项目中的“江苏中兴制剂车间建设项目”予以终止，并将上述项目终止后剩余的募集资金8,543.49万元（最终金额以资金转出当日银行结息金额为准）永久补充流动资金，用于公司日常生产经营及业务发展。资金划转完成后，公司董事会授权相关人员对相关募集资金专户进行销户处理，对应的《募集资金四方监管协议》亦随之终止。2024 年1月15日，本议案在公司召开的2024年第一次临时股东大会决议中获得通过。2024年1月18日，公司将剩余募集资金8,510.5</w:t>
            </w:r>
            <w:r>
              <w:rPr>
                <w:rFonts w:hint="eastAsia" w:ascii="宋体" w:hAnsi="宋体" w:cs="宋体"/>
                <w:sz w:val="18"/>
                <w:szCs w:val="18"/>
              </w:rPr>
              <w:t>2</w:t>
            </w:r>
            <w:r>
              <w:rPr>
                <w:rFonts w:ascii="宋体" w:hAnsi="宋体" w:cs="宋体"/>
                <w:sz w:val="18"/>
                <w:szCs w:val="18"/>
              </w:rPr>
              <w:t>万元</w:t>
            </w:r>
            <w:r>
              <w:rPr>
                <w:rFonts w:hint="eastAsia" w:ascii="宋体" w:hAnsi="宋体" w:cs="宋体"/>
                <w:sz w:val="18"/>
                <w:szCs w:val="18"/>
              </w:rPr>
              <w:t>（不含利息）</w:t>
            </w:r>
            <w:r>
              <w:rPr>
                <w:rFonts w:ascii="宋体" w:hAnsi="宋体" w:cs="宋体"/>
                <w:sz w:val="18"/>
                <w:szCs w:val="18"/>
              </w:rPr>
              <w:t>划转至公司基本户。</w:t>
            </w:r>
          </w:p>
        </w:tc>
      </w:tr>
      <w:tr w14:paraId="53DE8189">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0" w:type="dxa"/>
            <w:left w:w="108" w:type="dxa"/>
            <w:bottom w:w="0" w:type="dxa"/>
            <w:right w:w="108" w:type="dxa"/>
          </w:tblCellMar>
        </w:tblPrEx>
        <w:trPr>
          <w:trHeight w:val="200" w:hRule="atLeast"/>
        </w:trPr>
        <w:tc>
          <w:tcPr>
            <w:tcW w:w="4142" w:type="dxa"/>
            <w:gridSpan w:val="3"/>
            <w:shd w:val="clear" w:color="auto" w:fill="FFFFFF" w:themeFill="background1"/>
            <w:vAlign w:val="center"/>
          </w:tcPr>
          <w:p w14:paraId="35720EEE">
            <w:pPr>
              <w:spacing w:before="40" w:after="40" w:line="240" w:lineRule="exact"/>
              <w:rPr>
                <w:rFonts w:hint="eastAsia" w:ascii="宋体" w:hAnsi="宋体" w:cs="宋体"/>
                <w:sz w:val="18"/>
                <w:szCs w:val="18"/>
              </w:rPr>
            </w:pPr>
            <w:r>
              <w:rPr>
                <w:rFonts w:ascii="宋体" w:hAnsi="宋体" w:cs="宋体"/>
                <w:sz w:val="18"/>
                <w:szCs w:val="18"/>
              </w:rPr>
              <w:t>未达到计划进度或预计收益的情况和原因(分具体项目)</w:t>
            </w:r>
          </w:p>
        </w:tc>
        <w:tc>
          <w:tcPr>
            <w:tcW w:w="9798" w:type="dxa"/>
            <w:gridSpan w:val="7"/>
            <w:shd w:val="clear" w:color="auto" w:fill="FFFFFF" w:themeFill="background1"/>
            <w:vAlign w:val="center"/>
          </w:tcPr>
          <w:p w14:paraId="249A709A">
            <w:pPr>
              <w:spacing w:line="240" w:lineRule="exact"/>
              <w:jc w:val="left"/>
              <w:rPr>
                <w:rFonts w:hint="eastAsia" w:ascii="宋体" w:hAnsi="宋体" w:cs="宋体"/>
                <w:sz w:val="18"/>
                <w:szCs w:val="18"/>
              </w:rPr>
            </w:pPr>
            <w:r>
              <w:rPr>
                <w:rFonts w:ascii="宋体" w:hAnsi="宋体" w:cs="宋体"/>
                <w:sz w:val="18"/>
                <w:szCs w:val="18"/>
              </w:rPr>
              <w:t>江苏中兴制剂车间建设项目是</w:t>
            </w:r>
            <w:r>
              <w:rPr>
                <w:rFonts w:hint="eastAsia" w:ascii="宋体" w:hAnsi="宋体" w:cs="宋体"/>
                <w:sz w:val="18"/>
                <w:szCs w:val="18"/>
              </w:rPr>
              <w:t>基于</w:t>
            </w:r>
            <w:r>
              <w:rPr>
                <w:rFonts w:ascii="宋体" w:hAnsi="宋体" w:cs="宋体"/>
                <w:sz w:val="18"/>
                <w:szCs w:val="18"/>
              </w:rPr>
              <w:t>进一步扩大水飞蓟宾葡甲胺片、参芪健胃颗粒等现有产品产能以满足下游市场需求</w:t>
            </w:r>
            <w:r>
              <w:rPr>
                <w:rFonts w:hint="eastAsia" w:ascii="宋体" w:hAnsi="宋体" w:cs="宋体"/>
                <w:sz w:val="18"/>
                <w:szCs w:val="18"/>
              </w:rPr>
              <w:t>的目的而进行投资建设</w:t>
            </w:r>
            <w:r>
              <w:rPr>
                <w:rFonts w:ascii="宋体" w:hAnsi="宋体" w:cs="宋体"/>
                <w:sz w:val="18"/>
                <w:szCs w:val="18"/>
              </w:rPr>
              <w:t>。募投项目建设期内，水飞蓟宾葡甲胺片、参芪健胃颗粒等市场需求和产品销售总体平稳增长，但未发生重大变化，随着近几年江苏中兴生产组织和管理效率提升、生产工人技术更加成熟所带来的生产效率提高及生产车间的技改升级，相关产品生产线产能和产能利用率得到进一步优化及提升，结合相关产品最近</w:t>
            </w:r>
            <w:r>
              <w:rPr>
                <w:rFonts w:hint="eastAsia" w:ascii="宋体" w:hAnsi="宋体" w:cs="宋体"/>
                <w:sz w:val="18"/>
                <w:szCs w:val="18"/>
              </w:rPr>
              <w:t>几年</w:t>
            </w:r>
            <w:r>
              <w:rPr>
                <w:rFonts w:ascii="宋体" w:hAnsi="宋体" w:cs="宋体"/>
                <w:sz w:val="18"/>
                <w:szCs w:val="18"/>
              </w:rPr>
              <w:t>的产销情况及未来市场预期，预计现有产能并通过内部挖潜和技改能够满足现阶段及未来一定期间的市场需求。此外，随着药品上市许可持有人制度相关的配套法规出台，药品的生产不再受限于企业自身生产基地的制约，可以通过委托生产等方式，灵活保障产能并减少大额资金投入和节约生产成本。鉴于公司近几年持续的创新药研发投入及经营规模的扩大，公司对流动资金的需求不断增加，需要有足够的营运资金作为保障，以增强公司抗风险能力及竞争能力。</w:t>
            </w:r>
            <w:r>
              <w:rPr>
                <w:rFonts w:hint="eastAsia" w:ascii="宋体" w:hAnsi="宋体" w:cs="宋体"/>
                <w:sz w:val="18"/>
                <w:szCs w:val="18"/>
              </w:rPr>
              <w:t>根据公司创新战略发展和资源综合调度的需求，本着控制风险、审慎投资的原则，公司终止并将该项目全部剩余募集资金用于永久补充流动资金</w:t>
            </w:r>
            <w:r>
              <w:rPr>
                <w:rFonts w:ascii="宋体" w:hAnsi="宋体" w:cs="宋体"/>
                <w:sz w:val="18"/>
                <w:szCs w:val="18"/>
              </w:rPr>
              <w:t>。</w:t>
            </w:r>
          </w:p>
        </w:tc>
      </w:tr>
      <w:tr w14:paraId="02143C16">
        <w:tblPrEx>
          <w:tblBorders>
            <w:top w:val="single" w:color="auto" w:sz="2" w:space="0"/>
            <w:left w:val="single" w:color="auto" w:sz="2" w:space="0"/>
            <w:bottom w:val="single" w:color="auto" w:sz="2" w:space="0"/>
            <w:right w:val="single" w:color="auto" w:sz="2" w:space="0"/>
            <w:insideH w:val="single" w:color="auto" w:sz="2" w:space="0"/>
            <w:insideV w:val="single" w:color="auto" w:sz="2" w:space="0"/>
          </w:tblBorders>
          <w:shd w:val="clear" w:color="auto" w:fill="FFFFFF" w:themeFill="background1"/>
          <w:tblCellMar>
            <w:top w:w="0" w:type="dxa"/>
            <w:left w:w="108" w:type="dxa"/>
            <w:bottom w:w="0" w:type="dxa"/>
            <w:right w:w="108" w:type="dxa"/>
          </w:tblCellMar>
        </w:tblPrEx>
        <w:trPr>
          <w:trHeight w:val="200" w:hRule="atLeast"/>
        </w:trPr>
        <w:tc>
          <w:tcPr>
            <w:tcW w:w="4142" w:type="dxa"/>
            <w:gridSpan w:val="3"/>
            <w:shd w:val="clear" w:color="auto" w:fill="FFFFFF" w:themeFill="background1"/>
            <w:vAlign w:val="center"/>
          </w:tcPr>
          <w:p w14:paraId="1A1C4A73">
            <w:pPr>
              <w:spacing w:before="40" w:after="40" w:line="240" w:lineRule="exact"/>
              <w:rPr>
                <w:rFonts w:hint="eastAsia" w:ascii="宋体" w:hAnsi="宋体" w:cs="宋体"/>
                <w:sz w:val="18"/>
                <w:szCs w:val="18"/>
              </w:rPr>
            </w:pPr>
            <w:r>
              <w:rPr>
                <w:rFonts w:ascii="宋体" w:hAnsi="宋体" w:cs="宋体"/>
                <w:sz w:val="18"/>
                <w:szCs w:val="18"/>
              </w:rPr>
              <w:t>变更后的项目可行性发生重大变化的情况说明</w:t>
            </w:r>
          </w:p>
        </w:tc>
        <w:tc>
          <w:tcPr>
            <w:tcW w:w="9798" w:type="dxa"/>
            <w:gridSpan w:val="7"/>
            <w:shd w:val="clear" w:color="auto" w:fill="FFFFFF" w:themeFill="background1"/>
            <w:vAlign w:val="center"/>
          </w:tcPr>
          <w:p w14:paraId="4A60E3E9">
            <w:pPr>
              <w:spacing w:line="240" w:lineRule="exact"/>
              <w:rPr>
                <w:rFonts w:hint="eastAsia" w:ascii="宋体" w:hAnsi="宋体" w:cs="宋体"/>
                <w:sz w:val="18"/>
                <w:szCs w:val="18"/>
              </w:rPr>
            </w:pPr>
            <w:r>
              <w:rPr>
                <w:rFonts w:ascii="宋体" w:hAnsi="宋体" w:cs="宋体"/>
                <w:sz w:val="18"/>
                <w:szCs w:val="18"/>
              </w:rPr>
              <w:t>不适用</w:t>
            </w:r>
          </w:p>
        </w:tc>
      </w:tr>
    </w:tbl>
    <w:p w14:paraId="263A6A25">
      <w:pPr>
        <w:snapToGrid w:val="0"/>
        <w:spacing w:line="360" w:lineRule="auto"/>
        <w:ind w:firstLine="420" w:firstLineChars="200"/>
        <w:rPr>
          <w:rFonts w:hint="eastAsia" w:ascii="宋体" w:hAnsi="宋体"/>
          <w:color w:val="000000" w:themeColor="text1"/>
          <w:szCs w:val="21"/>
          <w14:textFill>
            <w14:solidFill>
              <w14:schemeClr w14:val="tx1"/>
            </w14:solidFill>
          </w14:textFill>
        </w:rPr>
      </w:pPr>
      <w:r>
        <w:rPr>
          <w:rFonts w:hint="eastAsia" w:ascii="宋体" w:hAnsi="宋体"/>
          <w:color w:val="000000" w:themeColor="text1"/>
          <w:szCs w:val="21"/>
          <w14:textFill>
            <w14:solidFill>
              <w14:schemeClr w14:val="tx1"/>
            </w14:solidFill>
          </w14:textFill>
        </w:rPr>
        <w:t>注1：本附表2所列“本报告期实际投入金额”系江苏中兴制剂车间建设项目终止后永久补充流动资金部分，与附表1中“补充流动资金项目”本年度投入金额12,312.26万元之间的差异系募投项目“原料药制剂一体化生产基地建设项目”结项并将节余募集资金永久补充流动资金所致。</w:t>
      </w:r>
    </w:p>
    <w:sectPr>
      <w:pgSz w:w="16840" w:h="11907" w:orient="landscape"/>
      <w:pgMar w:top="1797" w:right="1418" w:bottom="1418" w:left="1418" w:header="851" w:footer="992" w:gutter="0"/>
      <w:cols w:space="720" w:num="1"/>
      <w:docGrid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ourier New">
    <w:panose1 w:val="02070309020205020404"/>
    <w:charset w:val="00"/>
    <w:family w:val="modern"/>
    <w:pitch w:val="default"/>
    <w:sig w:usb0="E0002EFF" w:usb1="C0007843" w:usb2="00000009" w:usb3="00000000" w:csb0="400001FF" w:csb1="FFFF0000"/>
  </w:font>
  <w:font w:name="Verdana">
    <w:panose1 w:val="020B0604030504040204"/>
    <w:charset w:val="00"/>
    <w:family w:val="swiss"/>
    <w:pitch w:val="default"/>
    <w:sig w:usb0="A00006FF" w:usb1="4000205B" w:usb2="00000010" w:usb3="00000000" w:csb0="2000019F" w:csb1="00000000"/>
  </w:font>
  <w:font w:name="Arial">
    <w:panose1 w:val="020B0604020202020204"/>
    <w:charset w:val="00"/>
    <w:family w:val="swiss"/>
    <w:pitch w:val="default"/>
    <w:sig w:usb0="E0002EFF" w:usb1="C000785B" w:usb2="00000009" w:usb3="00000000" w:csb0="400001FF" w:csb1="FFFF0000"/>
  </w:font>
  <w:font w:name="等线 Light">
    <w:panose1 w:val="02010600030101010101"/>
    <w:charset w:val="86"/>
    <w:family w:val="auto"/>
    <w:pitch w:val="default"/>
    <w:sig w:usb0="A00002BF" w:usb1="38CF7CFA" w:usb2="00000016" w:usb3="00000000" w:csb0="0004000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Narrow">
    <w:panose1 w:val="020B0606020202030204"/>
    <w:charset w:val="00"/>
    <w:family w:val="swiss"/>
    <w:pitch w:val="default"/>
    <w:sig w:usb0="00000287" w:usb1="000008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889B7">
    <w:pPr>
      <w:pStyle w:val="9"/>
      <w:jc w:val="center"/>
    </w:pPr>
    <w:r>
      <w:rPr>
        <w:rFonts w:hint="eastAsia"/>
      </w:rPr>
      <w:t>专项报告 第</w:t>
    </w:r>
    <w:r>
      <w:fldChar w:fldCharType="begin"/>
    </w:r>
    <w:r>
      <w:instrText xml:space="preserve"> PAGE   \* MERGEFORMAT </w:instrText>
    </w:r>
    <w:r>
      <w:fldChar w:fldCharType="separate"/>
    </w:r>
    <w:r>
      <w:rPr>
        <w:lang w:val="zh-CN"/>
      </w:rPr>
      <w:t>2</w:t>
    </w:r>
    <w:r>
      <w:fldChar w:fldCharType="end"/>
    </w:r>
    <w:r>
      <w:rPr>
        <w:rFonts w:hint="eastAsia"/>
      </w:rPr>
      <w:t>页</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889B8">
    <w:pPr>
      <w:pStyle w:val="9"/>
      <w:jc w:val="cente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B3889B4">
    <w:pPr>
      <w:pStyle w:val="1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福建广生堂药业股份有限公司</w:t>
    </w:r>
  </w:p>
  <w:p w14:paraId="4B3889B5">
    <w:pPr>
      <w:pStyle w:val="1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20</w:t>
    </w:r>
    <w:r>
      <w:rPr>
        <w:color w:val="000000" w:themeColor="text1"/>
        <w14:textFill>
          <w14:solidFill>
            <w14:schemeClr w14:val="tx1"/>
          </w14:solidFill>
        </w14:textFill>
      </w:rPr>
      <w:t>2</w:t>
    </w:r>
    <w:r>
      <w:rPr>
        <w:rFonts w:hint="eastAsia"/>
        <w:color w:val="000000" w:themeColor="text1"/>
        <w14:textFill>
          <w14:solidFill>
            <w14:schemeClr w14:val="tx1"/>
          </w14:solidFill>
        </w14:textFill>
      </w:rPr>
      <w:t>4年度</w:t>
    </w:r>
  </w:p>
  <w:p w14:paraId="4B3889B6">
    <w:pPr>
      <w:pStyle w:val="10"/>
      <w:jc w:val="left"/>
      <w:rPr>
        <w:color w:val="000000" w:themeColor="text1"/>
        <w14:textFill>
          <w14:solidFill>
            <w14:schemeClr w14:val="tx1"/>
          </w14:solidFill>
        </w14:textFill>
      </w:rPr>
    </w:pPr>
    <w:r>
      <w:rPr>
        <w:rFonts w:hint="eastAsia"/>
        <w:color w:val="000000" w:themeColor="text1"/>
        <w14:textFill>
          <w14:solidFill>
            <w14:schemeClr w14:val="tx1"/>
          </w14:solidFill>
        </w14:textFill>
      </w:rPr>
      <w:t>募集资金存放与使用情况专项报告</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A4E1FCE"/>
    <w:multiLevelType w:val="multilevel"/>
    <w:tmpl w:val="2A4E1FCE"/>
    <w:lvl w:ilvl="0" w:tentative="0">
      <w:start w:val="1"/>
      <w:numFmt w:val="japaneseCounting"/>
      <w:lvlText w:val="%1、"/>
      <w:lvlJc w:val="left"/>
      <w:pPr>
        <w:tabs>
          <w:tab w:val="left" w:pos="870"/>
        </w:tabs>
        <w:ind w:left="870" w:hanging="450"/>
      </w:pPr>
      <w:rPr>
        <w:rFonts w:hint="default"/>
      </w:rPr>
    </w:lvl>
    <w:lvl w:ilvl="1" w:tentative="0">
      <w:start w:val="1"/>
      <w:numFmt w:val="lowerLetter"/>
      <w:lvlText w:val="%2)"/>
      <w:lvlJc w:val="left"/>
      <w:pPr>
        <w:tabs>
          <w:tab w:val="left" w:pos="1260"/>
        </w:tabs>
        <w:ind w:left="1260" w:hanging="420"/>
      </w:pPr>
    </w:lvl>
    <w:lvl w:ilvl="2" w:tentative="0">
      <w:start w:val="1"/>
      <w:numFmt w:val="lowerRoman"/>
      <w:lvlText w:val="%3."/>
      <w:lvlJc w:val="right"/>
      <w:pPr>
        <w:tabs>
          <w:tab w:val="left" w:pos="1680"/>
        </w:tabs>
        <w:ind w:left="1680" w:hanging="420"/>
      </w:pPr>
    </w:lvl>
    <w:lvl w:ilvl="3" w:tentative="0">
      <w:start w:val="1"/>
      <w:numFmt w:val="decimal"/>
      <w:lvlText w:val="%4."/>
      <w:lvlJc w:val="left"/>
      <w:pPr>
        <w:tabs>
          <w:tab w:val="left" w:pos="2100"/>
        </w:tabs>
        <w:ind w:left="2100" w:hanging="420"/>
      </w:pPr>
    </w:lvl>
    <w:lvl w:ilvl="4" w:tentative="0">
      <w:start w:val="1"/>
      <w:numFmt w:val="lowerLetter"/>
      <w:lvlText w:val="%5)"/>
      <w:lvlJc w:val="left"/>
      <w:pPr>
        <w:tabs>
          <w:tab w:val="left" w:pos="2520"/>
        </w:tabs>
        <w:ind w:left="2520" w:hanging="420"/>
      </w:pPr>
    </w:lvl>
    <w:lvl w:ilvl="5" w:tentative="0">
      <w:start w:val="1"/>
      <w:numFmt w:val="lowerRoman"/>
      <w:lvlText w:val="%6."/>
      <w:lvlJc w:val="right"/>
      <w:pPr>
        <w:tabs>
          <w:tab w:val="left" w:pos="2940"/>
        </w:tabs>
        <w:ind w:left="2940" w:hanging="420"/>
      </w:pPr>
    </w:lvl>
    <w:lvl w:ilvl="6" w:tentative="0">
      <w:start w:val="1"/>
      <w:numFmt w:val="decimal"/>
      <w:lvlText w:val="%7."/>
      <w:lvlJc w:val="left"/>
      <w:pPr>
        <w:tabs>
          <w:tab w:val="left" w:pos="3360"/>
        </w:tabs>
        <w:ind w:left="3360" w:hanging="420"/>
      </w:pPr>
    </w:lvl>
    <w:lvl w:ilvl="7" w:tentative="0">
      <w:start w:val="1"/>
      <w:numFmt w:val="lowerLetter"/>
      <w:lvlText w:val="%8)"/>
      <w:lvlJc w:val="left"/>
      <w:pPr>
        <w:tabs>
          <w:tab w:val="left" w:pos="3780"/>
        </w:tabs>
        <w:ind w:left="3780" w:hanging="420"/>
      </w:pPr>
    </w:lvl>
    <w:lvl w:ilvl="8" w:tentative="0">
      <w:start w:val="1"/>
      <w:numFmt w:val="lowerRoman"/>
      <w:lvlText w:val="%9."/>
      <w:lvlJc w:val="right"/>
      <w:pPr>
        <w:tabs>
          <w:tab w:val="left" w:pos="4200"/>
        </w:tabs>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0"/>
  <w:drawingGridHorizontalSpacing w:val="105"/>
  <w:drawingGridVerticalSpacing w:val="435"/>
  <w:noPunctuationKerning w:val="1"/>
  <w:characterSpacingControl w:val="compressPunctuation"/>
  <w:compat>
    <w:spaceForUL/>
    <w:balanceSingleByteDoubleByteWidth/>
    <w:doNotLeaveBackslashAlone/>
    <w:ulTrailSpace/>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附注一级" w:val="附注一级"/>
  </w:docVars>
  <w:rsids>
    <w:rsidRoot w:val="00460EE8"/>
    <w:rsid w:val="000013DC"/>
    <w:rsid w:val="00001E00"/>
    <w:rsid w:val="00011A2B"/>
    <w:rsid w:val="00012B39"/>
    <w:rsid w:val="000133A9"/>
    <w:rsid w:val="00014DDC"/>
    <w:rsid w:val="00022222"/>
    <w:rsid w:val="00024E69"/>
    <w:rsid w:val="0003124C"/>
    <w:rsid w:val="00032913"/>
    <w:rsid w:val="00033249"/>
    <w:rsid w:val="00035162"/>
    <w:rsid w:val="0003517D"/>
    <w:rsid w:val="00036456"/>
    <w:rsid w:val="00040FB7"/>
    <w:rsid w:val="00045999"/>
    <w:rsid w:val="00051AC0"/>
    <w:rsid w:val="00055A8E"/>
    <w:rsid w:val="00062F75"/>
    <w:rsid w:val="00064F56"/>
    <w:rsid w:val="0006710F"/>
    <w:rsid w:val="00067911"/>
    <w:rsid w:val="00070971"/>
    <w:rsid w:val="00071FA1"/>
    <w:rsid w:val="00073012"/>
    <w:rsid w:val="00074415"/>
    <w:rsid w:val="000769AE"/>
    <w:rsid w:val="0008249B"/>
    <w:rsid w:val="00084D16"/>
    <w:rsid w:val="00086170"/>
    <w:rsid w:val="00087E54"/>
    <w:rsid w:val="000903E8"/>
    <w:rsid w:val="000915E7"/>
    <w:rsid w:val="00091981"/>
    <w:rsid w:val="000922B6"/>
    <w:rsid w:val="00092A0A"/>
    <w:rsid w:val="000948B8"/>
    <w:rsid w:val="00095AFE"/>
    <w:rsid w:val="000A0F7C"/>
    <w:rsid w:val="000A1C33"/>
    <w:rsid w:val="000A369C"/>
    <w:rsid w:val="000A5563"/>
    <w:rsid w:val="000A576E"/>
    <w:rsid w:val="000B1578"/>
    <w:rsid w:val="000B1A7C"/>
    <w:rsid w:val="000B434F"/>
    <w:rsid w:val="000B6236"/>
    <w:rsid w:val="000C0DA9"/>
    <w:rsid w:val="000C2D07"/>
    <w:rsid w:val="000C3192"/>
    <w:rsid w:val="000C496E"/>
    <w:rsid w:val="000C57A5"/>
    <w:rsid w:val="000D0A26"/>
    <w:rsid w:val="000D3402"/>
    <w:rsid w:val="000D63BC"/>
    <w:rsid w:val="000D6445"/>
    <w:rsid w:val="000F0ED6"/>
    <w:rsid w:val="000F4183"/>
    <w:rsid w:val="000F6DE4"/>
    <w:rsid w:val="00101D92"/>
    <w:rsid w:val="00105631"/>
    <w:rsid w:val="001079E8"/>
    <w:rsid w:val="00110A15"/>
    <w:rsid w:val="001125DA"/>
    <w:rsid w:val="001133FC"/>
    <w:rsid w:val="00114F96"/>
    <w:rsid w:val="00116A08"/>
    <w:rsid w:val="00116E62"/>
    <w:rsid w:val="001208F6"/>
    <w:rsid w:val="001209C2"/>
    <w:rsid w:val="00123441"/>
    <w:rsid w:val="00123D42"/>
    <w:rsid w:val="00124044"/>
    <w:rsid w:val="001252E3"/>
    <w:rsid w:val="00125DA9"/>
    <w:rsid w:val="001269B1"/>
    <w:rsid w:val="001300A3"/>
    <w:rsid w:val="00132675"/>
    <w:rsid w:val="00140B3A"/>
    <w:rsid w:val="00140D40"/>
    <w:rsid w:val="0014377A"/>
    <w:rsid w:val="001453D8"/>
    <w:rsid w:val="00152C12"/>
    <w:rsid w:val="00153054"/>
    <w:rsid w:val="0015315D"/>
    <w:rsid w:val="00153434"/>
    <w:rsid w:val="0015416E"/>
    <w:rsid w:val="001550D8"/>
    <w:rsid w:val="001563E7"/>
    <w:rsid w:val="00156D88"/>
    <w:rsid w:val="001617BF"/>
    <w:rsid w:val="00161D9F"/>
    <w:rsid w:val="00164A00"/>
    <w:rsid w:val="001657C2"/>
    <w:rsid w:val="00165855"/>
    <w:rsid w:val="00167111"/>
    <w:rsid w:val="0016785D"/>
    <w:rsid w:val="00170847"/>
    <w:rsid w:val="00173249"/>
    <w:rsid w:val="00174C70"/>
    <w:rsid w:val="00175EF0"/>
    <w:rsid w:val="00176FCB"/>
    <w:rsid w:val="00182A14"/>
    <w:rsid w:val="00182AFF"/>
    <w:rsid w:val="0018542E"/>
    <w:rsid w:val="00190193"/>
    <w:rsid w:val="00190D9E"/>
    <w:rsid w:val="0019118B"/>
    <w:rsid w:val="00192C91"/>
    <w:rsid w:val="0019398F"/>
    <w:rsid w:val="001A0BE5"/>
    <w:rsid w:val="001A1B37"/>
    <w:rsid w:val="001A1B63"/>
    <w:rsid w:val="001A50F8"/>
    <w:rsid w:val="001A74DF"/>
    <w:rsid w:val="001A78FA"/>
    <w:rsid w:val="001B0C01"/>
    <w:rsid w:val="001B2997"/>
    <w:rsid w:val="001B61BF"/>
    <w:rsid w:val="001C129D"/>
    <w:rsid w:val="001C197E"/>
    <w:rsid w:val="001C1D28"/>
    <w:rsid w:val="001C37A5"/>
    <w:rsid w:val="001C4436"/>
    <w:rsid w:val="001C5347"/>
    <w:rsid w:val="001C6243"/>
    <w:rsid w:val="001C6F35"/>
    <w:rsid w:val="001C7475"/>
    <w:rsid w:val="001D135B"/>
    <w:rsid w:val="001D23CB"/>
    <w:rsid w:val="001D28BF"/>
    <w:rsid w:val="001D3C50"/>
    <w:rsid w:val="001D3CB7"/>
    <w:rsid w:val="001D77BF"/>
    <w:rsid w:val="001E283F"/>
    <w:rsid w:val="001E3BDD"/>
    <w:rsid w:val="001E7507"/>
    <w:rsid w:val="001F0FDD"/>
    <w:rsid w:val="001F1DBA"/>
    <w:rsid w:val="001F2128"/>
    <w:rsid w:val="001F3565"/>
    <w:rsid w:val="001F3C44"/>
    <w:rsid w:val="001F5E5F"/>
    <w:rsid w:val="00201908"/>
    <w:rsid w:val="002020FB"/>
    <w:rsid w:val="002072D3"/>
    <w:rsid w:val="00211E92"/>
    <w:rsid w:val="002122A8"/>
    <w:rsid w:val="00214F63"/>
    <w:rsid w:val="0021721D"/>
    <w:rsid w:val="002226D2"/>
    <w:rsid w:val="00224C18"/>
    <w:rsid w:val="00226A98"/>
    <w:rsid w:val="00231A16"/>
    <w:rsid w:val="0023329C"/>
    <w:rsid w:val="002348B6"/>
    <w:rsid w:val="00234AC9"/>
    <w:rsid w:val="00237324"/>
    <w:rsid w:val="00240035"/>
    <w:rsid w:val="0024083E"/>
    <w:rsid w:val="002466C3"/>
    <w:rsid w:val="00253A21"/>
    <w:rsid w:val="002559E4"/>
    <w:rsid w:val="00260527"/>
    <w:rsid w:val="002645C6"/>
    <w:rsid w:val="002678FE"/>
    <w:rsid w:val="002739EF"/>
    <w:rsid w:val="00277F3E"/>
    <w:rsid w:val="002814F1"/>
    <w:rsid w:val="0028187B"/>
    <w:rsid w:val="002840A9"/>
    <w:rsid w:val="00284341"/>
    <w:rsid w:val="002858FD"/>
    <w:rsid w:val="0029048E"/>
    <w:rsid w:val="00294FF7"/>
    <w:rsid w:val="00295B48"/>
    <w:rsid w:val="002973BB"/>
    <w:rsid w:val="00297EBC"/>
    <w:rsid w:val="002A2A18"/>
    <w:rsid w:val="002A6058"/>
    <w:rsid w:val="002B3129"/>
    <w:rsid w:val="002B332B"/>
    <w:rsid w:val="002B5B5F"/>
    <w:rsid w:val="002B70D1"/>
    <w:rsid w:val="002C1102"/>
    <w:rsid w:val="002C4BC4"/>
    <w:rsid w:val="002C4DB4"/>
    <w:rsid w:val="002C5DEF"/>
    <w:rsid w:val="002C6788"/>
    <w:rsid w:val="002D0B5C"/>
    <w:rsid w:val="002D767E"/>
    <w:rsid w:val="002E1D3B"/>
    <w:rsid w:val="002E635C"/>
    <w:rsid w:val="002F03B0"/>
    <w:rsid w:val="002F6AD8"/>
    <w:rsid w:val="002F73E8"/>
    <w:rsid w:val="00301E8A"/>
    <w:rsid w:val="00302F28"/>
    <w:rsid w:val="0030328F"/>
    <w:rsid w:val="00304369"/>
    <w:rsid w:val="00304AD1"/>
    <w:rsid w:val="0030666B"/>
    <w:rsid w:val="00306D9B"/>
    <w:rsid w:val="003073C3"/>
    <w:rsid w:val="00310D4F"/>
    <w:rsid w:val="003110BF"/>
    <w:rsid w:val="00315B0D"/>
    <w:rsid w:val="00320909"/>
    <w:rsid w:val="00320C09"/>
    <w:rsid w:val="003211C7"/>
    <w:rsid w:val="00321F24"/>
    <w:rsid w:val="00322FEA"/>
    <w:rsid w:val="0032391B"/>
    <w:rsid w:val="003241A7"/>
    <w:rsid w:val="0032696A"/>
    <w:rsid w:val="00327D1D"/>
    <w:rsid w:val="00331B39"/>
    <w:rsid w:val="00335DD4"/>
    <w:rsid w:val="00340526"/>
    <w:rsid w:val="0034465C"/>
    <w:rsid w:val="00347F98"/>
    <w:rsid w:val="00350527"/>
    <w:rsid w:val="00357E1C"/>
    <w:rsid w:val="00360F6D"/>
    <w:rsid w:val="00361112"/>
    <w:rsid w:val="00361946"/>
    <w:rsid w:val="00363F83"/>
    <w:rsid w:val="003643F5"/>
    <w:rsid w:val="00364D5A"/>
    <w:rsid w:val="00367629"/>
    <w:rsid w:val="0037479A"/>
    <w:rsid w:val="0037589F"/>
    <w:rsid w:val="00376E4D"/>
    <w:rsid w:val="00377346"/>
    <w:rsid w:val="00382C58"/>
    <w:rsid w:val="00385938"/>
    <w:rsid w:val="00391667"/>
    <w:rsid w:val="00395365"/>
    <w:rsid w:val="00395786"/>
    <w:rsid w:val="00395F2D"/>
    <w:rsid w:val="0039760B"/>
    <w:rsid w:val="003976D6"/>
    <w:rsid w:val="003A0F8A"/>
    <w:rsid w:val="003A3025"/>
    <w:rsid w:val="003A3693"/>
    <w:rsid w:val="003A4640"/>
    <w:rsid w:val="003A4764"/>
    <w:rsid w:val="003A4D1C"/>
    <w:rsid w:val="003A6666"/>
    <w:rsid w:val="003A689C"/>
    <w:rsid w:val="003A6F17"/>
    <w:rsid w:val="003B5CBD"/>
    <w:rsid w:val="003B611A"/>
    <w:rsid w:val="003C2118"/>
    <w:rsid w:val="003C523E"/>
    <w:rsid w:val="003C7815"/>
    <w:rsid w:val="003D01AF"/>
    <w:rsid w:val="003D0A4D"/>
    <w:rsid w:val="003D125D"/>
    <w:rsid w:val="003E2633"/>
    <w:rsid w:val="003E4A62"/>
    <w:rsid w:val="003E5701"/>
    <w:rsid w:val="003E746D"/>
    <w:rsid w:val="003F0531"/>
    <w:rsid w:val="003F084C"/>
    <w:rsid w:val="003F1B50"/>
    <w:rsid w:val="003F2E98"/>
    <w:rsid w:val="003F357F"/>
    <w:rsid w:val="003F41BF"/>
    <w:rsid w:val="003F4BD8"/>
    <w:rsid w:val="003F6B0D"/>
    <w:rsid w:val="004001B6"/>
    <w:rsid w:val="00402313"/>
    <w:rsid w:val="0040270E"/>
    <w:rsid w:val="00403D14"/>
    <w:rsid w:val="00403D7D"/>
    <w:rsid w:val="004040E0"/>
    <w:rsid w:val="00404A11"/>
    <w:rsid w:val="00406B70"/>
    <w:rsid w:val="00406F0C"/>
    <w:rsid w:val="00407C15"/>
    <w:rsid w:val="004101FE"/>
    <w:rsid w:val="00410833"/>
    <w:rsid w:val="00412F03"/>
    <w:rsid w:val="0041492A"/>
    <w:rsid w:val="00416E74"/>
    <w:rsid w:val="004201CA"/>
    <w:rsid w:val="004206D2"/>
    <w:rsid w:val="004225AC"/>
    <w:rsid w:val="004231BF"/>
    <w:rsid w:val="00423C42"/>
    <w:rsid w:val="004305CD"/>
    <w:rsid w:val="004308D1"/>
    <w:rsid w:val="00430F98"/>
    <w:rsid w:val="004328D8"/>
    <w:rsid w:val="00441534"/>
    <w:rsid w:val="00441887"/>
    <w:rsid w:val="00442B40"/>
    <w:rsid w:val="0044345E"/>
    <w:rsid w:val="0044557E"/>
    <w:rsid w:val="00452483"/>
    <w:rsid w:val="00453D55"/>
    <w:rsid w:val="004559C8"/>
    <w:rsid w:val="00455C71"/>
    <w:rsid w:val="00460EE8"/>
    <w:rsid w:val="0046309C"/>
    <w:rsid w:val="004635DA"/>
    <w:rsid w:val="00466851"/>
    <w:rsid w:val="00467431"/>
    <w:rsid w:val="00471135"/>
    <w:rsid w:val="00472EC0"/>
    <w:rsid w:val="00473A60"/>
    <w:rsid w:val="00476E01"/>
    <w:rsid w:val="00476F39"/>
    <w:rsid w:val="00477A7F"/>
    <w:rsid w:val="0048116D"/>
    <w:rsid w:val="0048178C"/>
    <w:rsid w:val="00482FA6"/>
    <w:rsid w:val="0048334E"/>
    <w:rsid w:val="0048432B"/>
    <w:rsid w:val="004843F4"/>
    <w:rsid w:val="00484712"/>
    <w:rsid w:val="00486C01"/>
    <w:rsid w:val="004924C4"/>
    <w:rsid w:val="004A0BC3"/>
    <w:rsid w:val="004A10B1"/>
    <w:rsid w:val="004A7754"/>
    <w:rsid w:val="004B2200"/>
    <w:rsid w:val="004B2383"/>
    <w:rsid w:val="004B278C"/>
    <w:rsid w:val="004B3030"/>
    <w:rsid w:val="004B38EA"/>
    <w:rsid w:val="004B57D8"/>
    <w:rsid w:val="004B7641"/>
    <w:rsid w:val="004C0A50"/>
    <w:rsid w:val="004C0B4C"/>
    <w:rsid w:val="004C0D6B"/>
    <w:rsid w:val="004D58DC"/>
    <w:rsid w:val="004E42BD"/>
    <w:rsid w:val="004E6A04"/>
    <w:rsid w:val="004F402B"/>
    <w:rsid w:val="004F4662"/>
    <w:rsid w:val="004F4B34"/>
    <w:rsid w:val="004F4EAF"/>
    <w:rsid w:val="004F774C"/>
    <w:rsid w:val="005009AE"/>
    <w:rsid w:val="00500B3D"/>
    <w:rsid w:val="0050206B"/>
    <w:rsid w:val="005072D2"/>
    <w:rsid w:val="00507659"/>
    <w:rsid w:val="00510141"/>
    <w:rsid w:val="00512B53"/>
    <w:rsid w:val="00512CC9"/>
    <w:rsid w:val="00513D0B"/>
    <w:rsid w:val="00515739"/>
    <w:rsid w:val="005159AC"/>
    <w:rsid w:val="00515DDE"/>
    <w:rsid w:val="00516E06"/>
    <w:rsid w:val="00522285"/>
    <w:rsid w:val="00524A64"/>
    <w:rsid w:val="00532142"/>
    <w:rsid w:val="00532901"/>
    <w:rsid w:val="005336DC"/>
    <w:rsid w:val="0053678D"/>
    <w:rsid w:val="00537501"/>
    <w:rsid w:val="00541BA3"/>
    <w:rsid w:val="00541EE1"/>
    <w:rsid w:val="00543C86"/>
    <w:rsid w:val="00546BB9"/>
    <w:rsid w:val="0054737E"/>
    <w:rsid w:val="005507F4"/>
    <w:rsid w:val="005537AA"/>
    <w:rsid w:val="0055414B"/>
    <w:rsid w:val="00555034"/>
    <w:rsid w:val="00562B73"/>
    <w:rsid w:val="00567E22"/>
    <w:rsid w:val="005705A2"/>
    <w:rsid w:val="0057065C"/>
    <w:rsid w:val="0058484F"/>
    <w:rsid w:val="00590BAA"/>
    <w:rsid w:val="00591F1D"/>
    <w:rsid w:val="00591F59"/>
    <w:rsid w:val="00597B93"/>
    <w:rsid w:val="005A2E9F"/>
    <w:rsid w:val="005B01FA"/>
    <w:rsid w:val="005B12FB"/>
    <w:rsid w:val="005B3D18"/>
    <w:rsid w:val="005B3D34"/>
    <w:rsid w:val="005B7536"/>
    <w:rsid w:val="005C0240"/>
    <w:rsid w:val="005C0EAF"/>
    <w:rsid w:val="005C175E"/>
    <w:rsid w:val="005C2AFF"/>
    <w:rsid w:val="005C533F"/>
    <w:rsid w:val="005C5C84"/>
    <w:rsid w:val="005C62F8"/>
    <w:rsid w:val="005D1EE0"/>
    <w:rsid w:val="005D44DB"/>
    <w:rsid w:val="005D4BFA"/>
    <w:rsid w:val="005D4F53"/>
    <w:rsid w:val="005E1A7A"/>
    <w:rsid w:val="005E4169"/>
    <w:rsid w:val="005E48A7"/>
    <w:rsid w:val="005E4A2B"/>
    <w:rsid w:val="005E592F"/>
    <w:rsid w:val="005F0F38"/>
    <w:rsid w:val="005F13FE"/>
    <w:rsid w:val="005F52D7"/>
    <w:rsid w:val="005F5EE0"/>
    <w:rsid w:val="00601C09"/>
    <w:rsid w:val="00602354"/>
    <w:rsid w:val="0060291C"/>
    <w:rsid w:val="00602EAC"/>
    <w:rsid w:val="006051DE"/>
    <w:rsid w:val="006116D4"/>
    <w:rsid w:val="0061465F"/>
    <w:rsid w:val="00615EA4"/>
    <w:rsid w:val="00616FFE"/>
    <w:rsid w:val="00621123"/>
    <w:rsid w:val="00621775"/>
    <w:rsid w:val="00622AC5"/>
    <w:rsid w:val="00624DA1"/>
    <w:rsid w:val="00627F05"/>
    <w:rsid w:val="006309D7"/>
    <w:rsid w:val="0063162B"/>
    <w:rsid w:val="00631B57"/>
    <w:rsid w:val="00633165"/>
    <w:rsid w:val="00636D6D"/>
    <w:rsid w:val="0064003F"/>
    <w:rsid w:val="006437AE"/>
    <w:rsid w:val="0064385A"/>
    <w:rsid w:val="00644AA0"/>
    <w:rsid w:val="00645B70"/>
    <w:rsid w:val="00646286"/>
    <w:rsid w:val="00647B4D"/>
    <w:rsid w:val="0065645E"/>
    <w:rsid w:val="00656BB0"/>
    <w:rsid w:val="00660348"/>
    <w:rsid w:val="0066206A"/>
    <w:rsid w:val="00664333"/>
    <w:rsid w:val="006652A1"/>
    <w:rsid w:val="00665C1F"/>
    <w:rsid w:val="006705C8"/>
    <w:rsid w:val="00673540"/>
    <w:rsid w:val="006755E7"/>
    <w:rsid w:val="00675A8A"/>
    <w:rsid w:val="00676BE2"/>
    <w:rsid w:val="00681E8A"/>
    <w:rsid w:val="006824F6"/>
    <w:rsid w:val="00690C1E"/>
    <w:rsid w:val="00691DCC"/>
    <w:rsid w:val="00693228"/>
    <w:rsid w:val="00693AE2"/>
    <w:rsid w:val="00694EA7"/>
    <w:rsid w:val="00694F87"/>
    <w:rsid w:val="00695AA3"/>
    <w:rsid w:val="006A270D"/>
    <w:rsid w:val="006A3A3D"/>
    <w:rsid w:val="006A62E7"/>
    <w:rsid w:val="006A7FC4"/>
    <w:rsid w:val="006B2317"/>
    <w:rsid w:val="006B4755"/>
    <w:rsid w:val="006C485F"/>
    <w:rsid w:val="006C6663"/>
    <w:rsid w:val="006C72F7"/>
    <w:rsid w:val="006D01CB"/>
    <w:rsid w:val="006D1F94"/>
    <w:rsid w:val="006D3403"/>
    <w:rsid w:val="006D5874"/>
    <w:rsid w:val="006D69B0"/>
    <w:rsid w:val="006E398E"/>
    <w:rsid w:val="006F0EE3"/>
    <w:rsid w:val="006F2819"/>
    <w:rsid w:val="006F283A"/>
    <w:rsid w:val="006F3148"/>
    <w:rsid w:val="006F3359"/>
    <w:rsid w:val="006F4563"/>
    <w:rsid w:val="006F512A"/>
    <w:rsid w:val="006F7F39"/>
    <w:rsid w:val="0070100F"/>
    <w:rsid w:val="00701375"/>
    <w:rsid w:val="00703FAF"/>
    <w:rsid w:val="00705DB2"/>
    <w:rsid w:val="00706548"/>
    <w:rsid w:val="00710106"/>
    <w:rsid w:val="00712386"/>
    <w:rsid w:val="0071615A"/>
    <w:rsid w:val="00722801"/>
    <w:rsid w:val="00723F05"/>
    <w:rsid w:val="00724987"/>
    <w:rsid w:val="007262B7"/>
    <w:rsid w:val="007273AE"/>
    <w:rsid w:val="00732AB7"/>
    <w:rsid w:val="00735BCB"/>
    <w:rsid w:val="00737063"/>
    <w:rsid w:val="00740945"/>
    <w:rsid w:val="00743F06"/>
    <w:rsid w:val="007472DE"/>
    <w:rsid w:val="00747E16"/>
    <w:rsid w:val="00752EEF"/>
    <w:rsid w:val="0075380E"/>
    <w:rsid w:val="00753926"/>
    <w:rsid w:val="00753979"/>
    <w:rsid w:val="007541D9"/>
    <w:rsid w:val="00754E46"/>
    <w:rsid w:val="00757AEA"/>
    <w:rsid w:val="00764422"/>
    <w:rsid w:val="0076459D"/>
    <w:rsid w:val="00764DE7"/>
    <w:rsid w:val="00764F97"/>
    <w:rsid w:val="00770FED"/>
    <w:rsid w:val="00771AB8"/>
    <w:rsid w:val="00775F74"/>
    <w:rsid w:val="0077690A"/>
    <w:rsid w:val="00776E90"/>
    <w:rsid w:val="007779C8"/>
    <w:rsid w:val="00781641"/>
    <w:rsid w:val="007820DE"/>
    <w:rsid w:val="00782C22"/>
    <w:rsid w:val="007837F1"/>
    <w:rsid w:val="00783DBA"/>
    <w:rsid w:val="00783E93"/>
    <w:rsid w:val="00786CFE"/>
    <w:rsid w:val="0078777B"/>
    <w:rsid w:val="00790E9A"/>
    <w:rsid w:val="00793CBE"/>
    <w:rsid w:val="0079523E"/>
    <w:rsid w:val="00795430"/>
    <w:rsid w:val="007977F5"/>
    <w:rsid w:val="007A0A7D"/>
    <w:rsid w:val="007A348E"/>
    <w:rsid w:val="007B46B1"/>
    <w:rsid w:val="007B5968"/>
    <w:rsid w:val="007B67A4"/>
    <w:rsid w:val="007B6A46"/>
    <w:rsid w:val="007B6FAE"/>
    <w:rsid w:val="007B7D2D"/>
    <w:rsid w:val="007C1FD9"/>
    <w:rsid w:val="007C3352"/>
    <w:rsid w:val="007C336D"/>
    <w:rsid w:val="007D14C4"/>
    <w:rsid w:val="007D451D"/>
    <w:rsid w:val="007D6E1C"/>
    <w:rsid w:val="007D736B"/>
    <w:rsid w:val="007D7F7A"/>
    <w:rsid w:val="007E07E6"/>
    <w:rsid w:val="007E2B54"/>
    <w:rsid w:val="007E4818"/>
    <w:rsid w:val="007E5989"/>
    <w:rsid w:val="007E5E11"/>
    <w:rsid w:val="007E6F64"/>
    <w:rsid w:val="007F075B"/>
    <w:rsid w:val="007F0844"/>
    <w:rsid w:val="007F0BD1"/>
    <w:rsid w:val="007F2D8A"/>
    <w:rsid w:val="007F4729"/>
    <w:rsid w:val="007F4AF4"/>
    <w:rsid w:val="007F7D19"/>
    <w:rsid w:val="00802398"/>
    <w:rsid w:val="00802F05"/>
    <w:rsid w:val="008030D4"/>
    <w:rsid w:val="0080341D"/>
    <w:rsid w:val="00806BE9"/>
    <w:rsid w:val="00810CCA"/>
    <w:rsid w:val="00810DAF"/>
    <w:rsid w:val="00812F3D"/>
    <w:rsid w:val="00813C9D"/>
    <w:rsid w:val="00814A67"/>
    <w:rsid w:val="00815105"/>
    <w:rsid w:val="00816B94"/>
    <w:rsid w:val="00817420"/>
    <w:rsid w:val="00817506"/>
    <w:rsid w:val="00820608"/>
    <w:rsid w:val="00820EAE"/>
    <w:rsid w:val="008226C5"/>
    <w:rsid w:val="008247A0"/>
    <w:rsid w:val="00825CA0"/>
    <w:rsid w:val="008265B8"/>
    <w:rsid w:val="00832A9A"/>
    <w:rsid w:val="00834C94"/>
    <w:rsid w:val="00840681"/>
    <w:rsid w:val="00843A7E"/>
    <w:rsid w:val="008470CD"/>
    <w:rsid w:val="00847798"/>
    <w:rsid w:val="00847C52"/>
    <w:rsid w:val="00853230"/>
    <w:rsid w:val="00854856"/>
    <w:rsid w:val="00856B25"/>
    <w:rsid w:val="00862047"/>
    <w:rsid w:val="00863666"/>
    <w:rsid w:val="00870095"/>
    <w:rsid w:val="00870D3C"/>
    <w:rsid w:val="008728FD"/>
    <w:rsid w:val="008736DD"/>
    <w:rsid w:val="00874FEC"/>
    <w:rsid w:val="00877C67"/>
    <w:rsid w:val="00880275"/>
    <w:rsid w:val="00881F44"/>
    <w:rsid w:val="0088768D"/>
    <w:rsid w:val="00890DFF"/>
    <w:rsid w:val="008A0652"/>
    <w:rsid w:val="008A3B95"/>
    <w:rsid w:val="008A5C43"/>
    <w:rsid w:val="008A6F33"/>
    <w:rsid w:val="008A7296"/>
    <w:rsid w:val="008B08CE"/>
    <w:rsid w:val="008B5B9E"/>
    <w:rsid w:val="008B7049"/>
    <w:rsid w:val="008C2824"/>
    <w:rsid w:val="008C4D02"/>
    <w:rsid w:val="008C79BC"/>
    <w:rsid w:val="008D0F5D"/>
    <w:rsid w:val="008D1A93"/>
    <w:rsid w:val="008D37EF"/>
    <w:rsid w:val="008D3C97"/>
    <w:rsid w:val="008E12A5"/>
    <w:rsid w:val="008E2195"/>
    <w:rsid w:val="008E5627"/>
    <w:rsid w:val="008E56B2"/>
    <w:rsid w:val="008E5F52"/>
    <w:rsid w:val="008E780F"/>
    <w:rsid w:val="008F3448"/>
    <w:rsid w:val="008F3B6B"/>
    <w:rsid w:val="008F46F1"/>
    <w:rsid w:val="008F5D99"/>
    <w:rsid w:val="00900BF7"/>
    <w:rsid w:val="00900F91"/>
    <w:rsid w:val="00902AB4"/>
    <w:rsid w:val="00902C67"/>
    <w:rsid w:val="0090351C"/>
    <w:rsid w:val="009122DF"/>
    <w:rsid w:val="009124C0"/>
    <w:rsid w:val="009132F4"/>
    <w:rsid w:val="00914BCC"/>
    <w:rsid w:val="0092093C"/>
    <w:rsid w:val="00926A3D"/>
    <w:rsid w:val="0092758E"/>
    <w:rsid w:val="009302F4"/>
    <w:rsid w:val="00931907"/>
    <w:rsid w:val="00931E7E"/>
    <w:rsid w:val="00933BD9"/>
    <w:rsid w:val="00934EB8"/>
    <w:rsid w:val="00936BFA"/>
    <w:rsid w:val="009416C0"/>
    <w:rsid w:val="00943F70"/>
    <w:rsid w:val="00944D8D"/>
    <w:rsid w:val="0095044A"/>
    <w:rsid w:val="00950B1F"/>
    <w:rsid w:val="00953B00"/>
    <w:rsid w:val="00953CA8"/>
    <w:rsid w:val="00953F56"/>
    <w:rsid w:val="00954FE7"/>
    <w:rsid w:val="009561E5"/>
    <w:rsid w:val="00957FEF"/>
    <w:rsid w:val="00961383"/>
    <w:rsid w:val="0097017F"/>
    <w:rsid w:val="00971086"/>
    <w:rsid w:val="0097125B"/>
    <w:rsid w:val="00971998"/>
    <w:rsid w:val="00973157"/>
    <w:rsid w:val="00974A80"/>
    <w:rsid w:val="00976051"/>
    <w:rsid w:val="009762F1"/>
    <w:rsid w:val="00976BA2"/>
    <w:rsid w:val="0098159E"/>
    <w:rsid w:val="0098161B"/>
    <w:rsid w:val="00981BA0"/>
    <w:rsid w:val="00983725"/>
    <w:rsid w:val="0098686B"/>
    <w:rsid w:val="009A0C42"/>
    <w:rsid w:val="009A4180"/>
    <w:rsid w:val="009A6465"/>
    <w:rsid w:val="009A6AD8"/>
    <w:rsid w:val="009A744A"/>
    <w:rsid w:val="009B4513"/>
    <w:rsid w:val="009B534A"/>
    <w:rsid w:val="009B534E"/>
    <w:rsid w:val="009B7B17"/>
    <w:rsid w:val="009C43FD"/>
    <w:rsid w:val="009C454A"/>
    <w:rsid w:val="009C67C4"/>
    <w:rsid w:val="009C706D"/>
    <w:rsid w:val="009C75C5"/>
    <w:rsid w:val="009D13CE"/>
    <w:rsid w:val="009D580B"/>
    <w:rsid w:val="009D64CF"/>
    <w:rsid w:val="009D6DEB"/>
    <w:rsid w:val="009E0780"/>
    <w:rsid w:val="009E0F19"/>
    <w:rsid w:val="009E28DD"/>
    <w:rsid w:val="009E2E49"/>
    <w:rsid w:val="009E3133"/>
    <w:rsid w:val="009E443B"/>
    <w:rsid w:val="009E4676"/>
    <w:rsid w:val="009E533F"/>
    <w:rsid w:val="009E7176"/>
    <w:rsid w:val="009E7C9A"/>
    <w:rsid w:val="009F34FD"/>
    <w:rsid w:val="009F4970"/>
    <w:rsid w:val="009F4D51"/>
    <w:rsid w:val="00A02A24"/>
    <w:rsid w:val="00A02D0A"/>
    <w:rsid w:val="00A10598"/>
    <w:rsid w:val="00A11619"/>
    <w:rsid w:val="00A12148"/>
    <w:rsid w:val="00A144FC"/>
    <w:rsid w:val="00A14E4E"/>
    <w:rsid w:val="00A2288A"/>
    <w:rsid w:val="00A257EB"/>
    <w:rsid w:val="00A25A2A"/>
    <w:rsid w:val="00A27A99"/>
    <w:rsid w:val="00A33D42"/>
    <w:rsid w:val="00A34641"/>
    <w:rsid w:val="00A3548E"/>
    <w:rsid w:val="00A35C3F"/>
    <w:rsid w:val="00A36DA5"/>
    <w:rsid w:val="00A4027E"/>
    <w:rsid w:val="00A40BDE"/>
    <w:rsid w:val="00A40D3C"/>
    <w:rsid w:val="00A427D8"/>
    <w:rsid w:val="00A45606"/>
    <w:rsid w:val="00A475D9"/>
    <w:rsid w:val="00A54678"/>
    <w:rsid w:val="00A57638"/>
    <w:rsid w:val="00A57CC2"/>
    <w:rsid w:val="00A60C92"/>
    <w:rsid w:val="00A636E4"/>
    <w:rsid w:val="00A63A75"/>
    <w:rsid w:val="00A64369"/>
    <w:rsid w:val="00A66A4A"/>
    <w:rsid w:val="00A66F2D"/>
    <w:rsid w:val="00A66FDB"/>
    <w:rsid w:val="00A678C2"/>
    <w:rsid w:val="00A70C4C"/>
    <w:rsid w:val="00A7196D"/>
    <w:rsid w:val="00A721D0"/>
    <w:rsid w:val="00A72533"/>
    <w:rsid w:val="00A732A4"/>
    <w:rsid w:val="00A76294"/>
    <w:rsid w:val="00A765F0"/>
    <w:rsid w:val="00A806CD"/>
    <w:rsid w:val="00A83C6A"/>
    <w:rsid w:val="00A8565B"/>
    <w:rsid w:val="00A9258E"/>
    <w:rsid w:val="00AA001F"/>
    <w:rsid w:val="00AA0A91"/>
    <w:rsid w:val="00AA1E78"/>
    <w:rsid w:val="00AA2072"/>
    <w:rsid w:val="00AA34D4"/>
    <w:rsid w:val="00AA4AAB"/>
    <w:rsid w:val="00AA5715"/>
    <w:rsid w:val="00AA5C8A"/>
    <w:rsid w:val="00AA5CE5"/>
    <w:rsid w:val="00AB2F2F"/>
    <w:rsid w:val="00AB538E"/>
    <w:rsid w:val="00AB686C"/>
    <w:rsid w:val="00AB7A66"/>
    <w:rsid w:val="00AB7ABA"/>
    <w:rsid w:val="00AC5935"/>
    <w:rsid w:val="00AC5BB5"/>
    <w:rsid w:val="00AC5BD8"/>
    <w:rsid w:val="00AC6932"/>
    <w:rsid w:val="00AC7069"/>
    <w:rsid w:val="00AD2B31"/>
    <w:rsid w:val="00AD6C1D"/>
    <w:rsid w:val="00AE0FB7"/>
    <w:rsid w:val="00AE1B1C"/>
    <w:rsid w:val="00AE2B79"/>
    <w:rsid w:val="00AE3797"/>
    <w:rsid w:val="00AE56B2"/>
    <w:rsid w:val="00AE62B4"/>
    <w:rsid w:val="00AF66A8"/>
    <w:rsid w:val="00AF7248"/>
    <w:rsid w:val="00B10FC7"/>
    <w:rsid w:val="00B11745"/>
    <w:rsid w:val="00B12F3B"/>
    <w:rsid w:val="00B14A2E"/>
    <w:rsid w:val="00B15B90"/>
    <w:rsid w:val="00B15ED1"/>
    <w:rsid w:val="00B16220"/>
    <w:rsid w:val="00B20F6C"/>
    <w:rsid w:val="00B24E3D"/>
    <w:rsid w:val="00B2681D"/>
    <w:rsid w:val="00B26BE6"/>
    <w:rsid w:val="00B33071"/>
    <w:rsid w:val="00B34D64"/>
    <w:rsid w:val="00B36098"/>
    <w:rsid w:val="00B36B22"/>
    <w:rsid w:val="00B3798B"/>
    <w:rsid w:val="00B40CEA"/>
    <w:rsid w:val="00B414FA"/>
    <w:rsid w:val="00B44B20"/>
    <w:rsid w:val="00B53158"/>
    <w:rsid w:val="00B54A84"/>
    <w:rsid w:val="00B64D01"/>
    <w:rsid w:val="00B65621"/>
    <w:rsid w:val="00B715CA"/>
    <w:rsid w:val="00B740AB"/>
    <w:rsid w:val="00B75F38"/>
    <w:rsid w:val="00B81481"/>
    <w:rsid w:val="00B81975"/>
    <w:rsid w:val="00B81999"/>
    <w:rsid w:val="00B8333D"/>
    <w:rsid w:val="00B83628"/>
    <w:rsid w:val="00B8588F"/>
    <w:rsid w:val="00B87203"/>
    <w:rsid w:val="00B93035"/>
    <w:rsid w:val="00B93B75"/>
    <w:rsid w:val="00BA1468"/>
    <w:rsid w:val="00BA1DD2"/>
    <w:rsid w:val="00BA7043"/>
    <w:rsid w:val="00BB0BA2"/>
    <w:rsid w:val="00BB1D85"/>
    <w:rsid w:val="00BB2B20"/>
    <w:rsid w:val="00BC0858"/>
    <w:rsid w:val="00BC1106"/>
    <w:rsid w:val="00BC1C34"/>
    <w:rsid w:val="00BC2E7F"/>
    <w:rsid w:val="00BC2E98"/>
    <w:rsid w:val="00BC2F7E"/>
    <w:rsid w:val="00BC3095"/>
    <w:rsid w:val="00BC4287"/>
    <w:rsid w:val="00BC55B1"/>
    <w:rsid w:val="00BC6466"/>
    <w:rsid w:val="00BD4D9A"/>
    <w:rsid w:val="00BD5156"/>
    <w:rsid w:val="00BD6F87"/>
    <w:rsid w:val="00BD7124"/>
    <w:rsid w:val="00BD73E3"/>
    <w:rsid w:val="00BD7E3E"/>
    <w:rsid w:val="00BE032A"/>
    <w:rsid w:val="00BE2999"/>
    <w:rsid w:val="00BE41F8"/>
    <w:rsid w:val="00BE693E"/>
    <w:rsid w:val="00BE7A91"/>
    <w:rsid w:val="00BE7E06"/>
    <w:rsid w:val="00BF4FFC"/>
    <w:rsid w:val="00BF60CC"/>
    <w:rsid w:val="00C00485"/>
    <w:rsid w:val="00C00BE0"/>
    <w:rsid w:val="00C00D97"/>
    <w:rsid w:val="00C014C0"/>
    <w:rsid w:val="00C01832"/>
    <w:rsid w:val="00C01B06"/>
    <w:rsid w:val="00C02CBA"/>
    <w:rsid w:val="00C04C51"/>
    <w:rsid w:val="00C06233"/>
    <w:rsid w:val="00C06749"/>
    <w:rsid w:val="00C071E1"/>
    <w:rsid w:val="00C202DE"/>
    <w:rsid w:val="00C217EB"/>
    <w:rsid w:val="00C23392"/>
    <w:rsid w:val="00C263B6"/>
    <w:rsid w:val="00C270A5"/>
    <w:rsid w:val="00C339FE"/>
    <w:rsid w:val="00C35A39"/>
    <w:rsid w:val="00C35F37"/>
    <w:rsid w:val="00C435D4"/>
    <w:rsid w:val="00C43FBF"/>
    <w:rsid w:val="00C441CC"/>
    <w:rsid w:val="00C4511A"/>
    <w:rsid w:val="00C45FD2"/>
    <w:rsid w:val="00C461FF"/>
    <w:rsid w:val="00C47A0E"/>
    <w:rsid w:val="00C50051"/>
    <w:rsid w:val="00C519D2"/>
    <w:rsid w:val="00C52538"/>
    <w:rsid w:val="00C52DDF"/>
    <w:rsid w:val="00C52F26"/>
    <w:rsid w:val="00C531C1"/>
    <w:rsid w:val="00C56E0C"/>
    <w:rsid w:val="00C577F4"/>
    <w:rsid w:val="00C57CC8"/>
    <w:rsid w:val="00C60C93"/>
    <w:rsid w:val="00C616A1"/>
    <w:rsid w:val="00C63D1A"/>
    <w:rsid w:val="00C66318"/>
    <w:rsid w:val="00C667D7"/>
    <w:rsid w:val="00C70A2F"/>
    <w:rsid w:val="00C73A92"/>
    <w:rsid w:val="00C74529"/>
    <w:rsid w:val="00C758E4"/>
    <w:rsid w:val="00C7770A"/>
    <w:rsid w:val="00C81C0C"/>
    <w:rsid w:val="00C8211A"/>
    <w:rsid w:val="00C85745"/>
    <w:rsid w:val="00C878B0"/>
    <w:rsid w:val="00C87C56"/>
    <w:rsid w:val="00C9165F"/>
    <w:rsid w:val="00C91670"/>
    <w:rsid w:val="00C9369A"/>
    <w:rsid w:val="00C93C5D"/>
    <w:rsid w:val="00C94763"/>
    <w:rsid w:val="00C957B3"/>
    <w:rsid w:val="00CA029A"/>
    <w:rsid w:val="00CA0364"/>
    <w:rsid w:val="00CA4569"/>
    <w:rsid w:val="00CA5BEE"/>
    <w:rsid w:val="00CA70D5"/>
    <w:rsid w:val="00CA72EB"/>
    <w:rsid w:val="00CB2F64"/>
    <w:rsid w:val="00CB3328"/>
    <w:rsid w:val="00CB4D85"/>
    <w:rsid w:val="00CB5670"/>
    <w:rsid w:val="00CB7C72"/>
    <w:rsid w:val="00CB7D53"/>
    <w:rsid w:val="00CC01B6"/>
    <w:rsid w:val="00CC446B"/>
    <w:rsid w:val="00CC4CA2"/>
    <w:rsid w:val="00CC5CA6"/>
    <w:rsid w:val="00CC77DD"/>
    <w:rsid w:val="00CC798A"/>
    <w:rsid w:val="00CD1B02"/>
    <w:rsid w:val="00CD5616"/>
    <w:rsid w:val="00CD6249"/>
    <w:rsid w:val="00CD68C0"/>
    <w:rsid w:val="00CD7607"/>
    <w:rsid w:val="00CE077B"/>
    <w:rsid w:val="00CE0854"/>
    <w:rsid w:val="00CE19AF"/>
    <w:rsid w:val="00CE415E"/>
    <w:rsid w:val="00CE665D"/>
    <w:rsid w:val="00CE68C5"/>
    <w:rsid w:val="00CF18AC"/>
    <w:rsid w:val="00CF5759"/>
    <w:rsid w:val="00D0252D"/>
    <w:rsid w:val="00D100A7"/>
    <w:rsid w:val="00D10383"/>
    <w:rsid w:val="00D1212A"/>
    <w:rsid w:val="00D178B0"/>
    <w:rsid w:val="00D20087"/>
    <w:rsid w:val="00D2143C"/>
    <w:rsid w:val="00D21C43"/>
    <w:rsid w:val="00D23CB1"/>
    <w:rsid w:val="00D25FB7"/>
    <w:rsid w:val="00D306CC"/>
    <w:rsid w:val="00D306D5"/>
    <w:rsid w:val="00D3107F"/>
    <w:rsid w:val="00D322E4"/>
    <w:rsid w:val="00D3476A"/>
    <w:rsid w:val="00D34BB5"/>
    <w:rsid w:val="00D438DC"/>
    <w:rsid w:val="00D43BDF"/>
    <w:rsid w:val="00D46EB4"/>
    <w:rsid w:val="00D47237"/>
    <w:rsid w:val="00D5283F"/>
    <w:rsid w:val="00D52B57"/>
    <w:rsid w:val="00D530D5"/>
    <w:rsid w:val="00D55097"/>
    <w:rsid w:val="00D55E0A"/>
    <w:rsid w:val="00D56B55"/>
    <w:rsid w:val="00D577C5"/>
    <w:rsid w:val="00D609F2"/>
    <w:rsid w:val="00D65094"/>
    <w:rsid w:val="00D65E94"/>
    <w:rsid w:val="00D70365"/>
    <w:rsid w:val="00D71214"/>
    <w:rsid w:val="00D71FA6"/>
    <w:rsid w:val="00D802C1"/>
    <w:rsid w:val="00D82DE4"/>
    <w:rsid w:val="00D86456"/>
    <w:rsid w:val="00D86918"/>
    <w:rsid w:val="00D90FC4"/>
    <w:rsid w:val="00D91021"/>
    <w:rsid w:val="00D92756"/>
    <w:rsid w:val="00D97C34"/>
    <w:rsid w:val="00DA2084"/>
    <w:rsid w:val="00DA2451"/>
    <w:rsid w:val="00DA39BE"/>
    <w:rsid w:val="00DA41A5"/>
    <w:rsid w:val="00DA422B"/>
    <w:rsid w:val="00DA4D58"/>
    <w:rsid w:val="00DA60D4"/>
    <w:rsid w:val="00DA7FAE"/>
    <w:rsid w:val="00DB12E6"/>
    <w:rsid w:val="00DB1474"/>
    <w:rsid w:val="00DB2231"/>
    <w:rsid w:val="00DB231C"/>
    <w:rsid w:val="00DB23A8"/>
    <w:rsid w:val="00DB5EB1"/>
    <w:rsid w:val="00DB6EA4"/>
    <w:rsid w:val="00DC0C0F"/>
    <w:rsid w:val="00DC2CDF"/>
    <w:rsid w:val="00DC3ADA"/>
    <w:rsid w:val="00DC68A8"/>
    <w:rsid w:val="00DC760E"/>
    <w:rsid w:val="00DD0349"/>
    <w:rsid w:val="00DD0DF0"/>
    <w:rsid w:val="00DD2C64"/>
    <w:rsid w:val="00DD322D"/>
    <w:rsid w:val="00DD6B5B"/>
    <w:rsid w:val="00DE13B3"/>
    <w:rsid w:val="00DE213F"/>
    <w:rsid w:val="00DE331B"/>
    <w:rsid w:val="00DE3E9E"/>
    <w:rsid w:val="00DE43E8"/>
    <w:rsid w:val="00DE5C75"/>
    <w:rsid w:val="00DF1F96"/>
    <w:rsid w:val="00DF714A"/>
    <w:rsid w:val="00E01B8F"/>
    <w:rsid w:val="00E03FD5"/>
    <w:rsid w:val="00E04A54"/>
    <w:rsid w:val="00E051B6"/>
    <w:rsid w:val="00E073A3"/>
    <w:rsid w:val="00E07AED"/>
    <w:rsid w:val="00E13A7D"/>
    <w:rsid w:val="00E16E96"/>
    <w:rsid w:val="00E176B6"/>
    <w:rsid w:val="00E20121"/>
    <w:rsid w:val="00E213A5"/>
    <w:rsid w:val="00E22C95"/>
    <w:rsid w:val="00E31B9F"/>
    <w:rsid w:val="00E331FE"/>
    <w:rsid w:val="00E33FE2"/>
    <w:rsid w:val="00E3456A"/>
    <w:rsid w:val="00E348AE"/>
    <w:rsid w:val="00E40061"/>
    <w:rsid w:val="00E43728"/>
    <w:rsid w:val="00E45F56"/>
    <w:rsid w:val="00E4681A"/>
    <w:rsid w:val="00E479C9"/>
    <w:rsid w:val="00E57082"/>
    <w:rsid w:val="00E573CC"/>
    <w:rsid w:val="00E57DF8"/>
    <w:rsid w:val="00E60DFD"/>
    <w:rsid w:val="00E61851"/>
    <w:rsid w:val="00E6200E"/>
    <w:rsid w:val="00E62425"/>
    <w:rsid w:val="00E62720"/>
    <w:rsid w:val="00E633C4"/>
    <w:rsid w:val="00E64DEA"/>
    <w:rsid w:val="00E65B27"/>
    <w:rsid w:val="00E70CD7"/>
    <w:rsid w:val="00E72755"/>
    <w:rsid w:val="00E75130"/>
    <w:rsid w:val="00E77CD8"/>
    <w:rsid w:val="00E825FC"/>
    <w:rsid w:val="00E83293"/>
    <w:rsid w:val="00E922E3"/>
    <w:rsid w:val="00E929D6"/>
    <w:rsid w:val="00E938F0"/>
    <w:rsid w:val="00E95EE3"/>
    <w:rsid w:val="00EA0AAD"/>
    <w:rsid w:val="00EA43CE"/>
    <w:rsid w:val="00EA4960"/>
    <w:rsid w:val="00EA6C7C"/>
    <w:rsid w:val="00EA73D8"/>
    <w:rsid w:val="00EA7AD1"/>
    <w:rsid w:val="00EB0E48"/>
    <w:rsid w:val="00EB661F"/>
    <w:rsid w:val="00EC06A3"/>
    <w:rsid w:val="00EC0C50"/>
    <w:rsid w:val="00EC1A6E"/>
    <w:rsid w:val="00EC1BDA"/>
    <w:rsid w:val="00EC3997"/>
    <w:rsid w:val="00EC46AE"/>
    <w:rsid w:val="00ED3E57"/>
    <w:rsid w:val="00ED4B2F"/>
    <w:rsid w:val="00ED790D"/>
    <w:rsid w:val="00ED7AE2"/>
    <w:rsid w:val="00EE01AF"/>
    <w:rsid w:val="00EE0987"/>
    <w:rsid w:val="00EE1677"/>
    <w:rsid w:val="00EE4FA1"/>
    <w:rsid w:val="00EE5A57"/>
    <w:rsid w:val="00EF0798"/>
    <w:rsid w:val="00EF491C"/>
    <w:rsid w:val="00EF71E0"/>
    <w:rsid w:val="00EF72DE"/>
    <w:rsid w:val="00F00403"/>
    <w:rsid w:val="00F00A13"/>
    <w:rsid w:val="00F00D5A"/>
    <w:rsid w:val="00F024D6"/>
    <w:rsid w:val="00F03264"/>
    <w:rsid w:val="00F04830"/>
    <w:rsid w:val="00F056A8"/>
    <w:rsid w:val="00F0770E"/>
    <w:rsid w:val="00F11207"/>
    <w:rsid w:val="00F20512"/>
    <w:rsid w:val="00F21198"/>
    <w:rsid w:val="00F22691"/>
    <w:rsid w:val="00F318E2"/>
    <w:rsid w:val="00F32742"/>
    <w:rsid w:val="00F32BF0"/>
    <w:rsid w:val="00F33374"/>
    <w:rsid w:val="00F33C46"/>
    <w:rsid w:val="00F33CC6"/>
    <w:rsid w:val="00F33F62"/>
    <w:rsid w:val="00F35F61"/>
    <w:rsid w:val="00F40271"/>
    <w:rsid w:val="00F425AD"/>
    <w:rsid w:val="00F429B9"/>
    <w:rsid w:val="00F435E4"/>
    <w:rsid w:val="00F47211"/>
    <w:rsid w:val="00F52B7B"/>
    <w:rsid w:val="00F622CD"/>
    <w:rsid w:val="00F62E8E"/>
    <w:rsid w:val="00F64F12"/>
    <w:rsid w:val="00F659D4"/>
    <w:rsid w:val="00F704F3"/>
    <w:rsid w:val="00F70BE1"/>
    <w:rsid w:val="00F71C48"/>
    <w:rsid w:val="00F742B5"/>
    <w:rsid w:val="00F74A7E"/>
    <w:rsid w:val="00F75331"/>
    <w:rsid w:val="00F75B47"/>
    <w:rsid w:val="00F80737"/>
    <w:rsid w:val="00F81774"/>
    <w:rsid w:val="00F825BC"/>
    <w:rsid w:val="00F83EDB"/>
    <w:rsid w:val="00F842B1"/>
    <w:rsid w:val="00F8770C"/>
    <w:rsid w:val="00F90E06"/>
    <w:rsid w:val="00F9274B"/>
    <w:rsid w:val="00F92A9E"/>
    <w:rsid w:val="00F94225"/>
    <w:rsid w:val="00F967B2"/>
    <w:rsid w:val="00FA343E"/>
    <w:rsid w:val="00FA5DBA"/>
    <w:rsid w:val="00FA723A"/>
    <w:rsid w:val="00FB1BD2"/>
    <w:rsid w:val="00FB67CA"/>
    <w:rsid w:val="00FB7854"/>
    <w:rsid w:val="00FC0312"/>
    <w:rsid w:val="00FC2188"/>
    <w:rsid w:val="00FC2853"/>
    <w:rsid w:val="00FC65F7"/>
    <w:rsid w:val="00FC6F5E"/>
    <w:rsid w:val="00FD2D3D"/>
    <w:rsid w:val="00FD6B52"/>
    <w:rsid w:val="00FD7153"/>
    <w:rsid w:val="00FD73E9"/>
    <w:rsid w:val="00FD7FE4"/>
    <w:rsid w:val="00FE01C1"/>
    <w:rsid w:val="00FE0DD5"/>
    <w:rsid w:val="00FE34F8"/>
    <w:rsid w:val="00FE7132"/>
    <w:rsid w:val="00FF586A"/>
    <w:rsid w:val="00FF5D1A"/>
    <w:rsid w:val="00FF5E11"/>
    <w:rsid w:val="013100F2"/>
    <w:rsid w:val="01E53702"/>
    <w:rsid w:val="064D3AF9"/>
    <w:rsid w:val="070C666C"/>
    <w:rsid w:val="0C79736A"/>
    <w:rsid w:val="0D23626B"/>
    <w:rsid w:val="12EE1802"/>
    <w:rsid w:val="15617265"/>
    <w:rsid w:val="184305B7"/>
    <w:rsid w:val="1A365DC0"/>
    <w:rsid w:val="1F8673EE"/>
    <w:rsid w:val="2A9E1E8E"/>
    <w:rsid w:val="2E371BAB"/>
    <w:rsid w:val="3B0C5DFB"/>
    <w:rsid w:val="4C495277"/>
    <w:rsid w:val="62F7306F"/>
    <w:rsid w:val="655C6080"/>
    <w:rsid w:val="65640DE3"/>
    <w:rsid w:val="6876296E"/>
    <w:rsid w:val="6BB64C54"/>
    <w:rsid w:val="6EBD15E3"/>
    <w:rsid w:val="75C53718"/>
    <w:rsid w:val="77552659"/>
    <w:rsid w:val="7CDE702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qFormat="1"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iPriority="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qFormat/>
    <w:uiPriority w:val="0"/>
    <w:rPr>
      <w:rFonts w:ascii="宋体"/>
      <w:sz w:val="18"/>
      <w:szCs w:val="18"/>
    </w:rPr>
  </w:style>
  <w:style w:type="paragraph" w:styleId="3">
    <w:name w:val="annotation text"/>
    <w:basedOn w:val="1"/>
    <w:link w:val="21"/>
    <w:qFormat/>
    <w:uiPriority w:val="0"/>
    <w:pPr>
      <w:jc w:val="left"/>
    </w:pPr>
  </w:style>
  <w:style w:type="paragraph" w:styleId="4">
    <w:name w:val="Closing"/>
    <w:basedOn w:val="1"/>
    <w:qFormat/>
    <w:uiPriority w:val="0"/>
    <w:pPr>
      <w:ind w:left="100" w:leftChars="2100"/>
    </w:pPr>
    <w:rPr>
      <w:szCs w:val="24"/>
    </w:rPr>
  </w:style>
  <w:style w:type="paragraph" w:styleId="5">
    <w:name w:val="Body Text Indent"/>
    <w:basedOn w:val="1"/>
    <w:qFormat/>
    <w:uiPriority w:val="0"/>
    <w:pPr>
      <w:spacing w:line="360" w:lineRule="auto"/>
      <w:ind w:firstLine="420"/>
    </w:pPr>
  </w:style>
  <w:style w:type="paragraph" w:styleId="6">
    <w:name w:val="Plain Text"/>
    <w:basedOn w:val="1"/>
    <w:qFormat/>
    <w:uiPriority w:val="0"/>
    <w:rPr>
      <w:rFonts w:ascii="宋体" w:hAnsi="Courier New"/>
    </w:rPr>
  </w:style>
  <w:style w:type="paragraph" w:styleId="7">
    <w:name w:val="Date"/>
    <w:basedOn w:val="1"/>
    <w:next w:val="1"/>
    <w:qFormat/>
    <w:uiPriority w:val="0"/>
  </w:style>
  <w:style w:type="paragraph" w:styleId="8">
    <w:name w:val="Balloon Text"/>
    <w:basedOn w:val="1"/>
    <w:semiHidden/>
    <w:qFormat/>
    <w:uiPriority w:val="0"/>
    <w:rPr>
      <w:sz w:val="18"/>
      <w:szCs w:val="18"/>
    </w:rPr>
  </w:style>
  <w:style w:type="paragraph" w:styleId="9">
    <w:name w:val="footer"/>
    <w:basedOn w:val="1"/>
    <w:link w:val="20"/>
    <w:qFormat/>
    <w:uiPriority w:val="99"/>
    <w:pPr>
      <w:tabs>
        <w:tab w:val="center" w:pos="4153"/>
        <w:tab w:val="right" w:pos="8306"/>
      </w:tabs>
      <w:snapToGrid w:val="0"/>
      <w:jc w:val="left"/>
    </w:pPr>
    <w:rPr>
      <w:sz w:val="18"/>
      <w:szCs w:val="18"/>
    </w:rPr>
  </w:style>
  <w:style w:type="paragraph" w:styleId="10">
    <w:name w:val="header"/>
    <w:basedOn w:val="1"/>
    <w:link w:val="23"/>
    <w:qFormat/>
    <w:uiPriority w:val="0"/>
    <w:pPr>
      <w:pBdr>
        <w:bottom w:val="single" w:color="auto" w:sz="6" w:space="1"/>
      </w:pBdr>
      <w:tabs>
        <w:tab w:val="center" w:pos="4153"/>
        <w:tab w:val="right" w:pos="8306"/>
      </w:tabs>
      <w:snapToGrid w:val="0"/>
      <w:jc w:val="center"/>
    </w:pPr>
    <w:rPr>
      <w:sz w:val="18"/>
      <w:szCs w:val="18"/>
    </w:rPr>
  </w:style>
  <w:style w:type="paragraph" w:styleId="11">
    <w:name w:val="Body Text Indent 3"/>
    <w:basedOn w:val="1"/>
    <w:qFormat/>
    <w:uiPriority w:val="0"/>
    <w:pPr>
      <w:spacing w:after="120"/>
      <w:ind w:left="420" w:leftChars="200"/>
    </w:pPr>
    <w:rPr>
      <w:sz w:val="16"/>
      <w:szCs w:val="16"/>
    </w:rPr>
  </w:style>
  <w:style w:type="paragraph" w:styleId="12">
    <w:name w:val="annotation subject"/>
    <w:basedOn w:val="3"/>
    <w:next w:val="3"/>
    <w:link w:val="24"/>
    <w:qFormat/>
    <w:uiPriority w:val="0"/>
    <w:rPr>
      <w:b/>
      <w:bCs/>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unhideWhenUsed/>
    <w:qFormat/>
    <w:uiPriority w:val="0"/>
    <w:rPr>
      <w:color w:val="0563C1"/>
      <w:u w:val="single"/>
    </w:rPr>
  </w:style>
  <w:style w:type="character" w:styleId="18">
    <w:name w:val="annotation reference"/>
    <w:qFormat/>
    <w:uiPriority w:val="0"/>
    <w:rPr>
      <w:sz w:val="21"/>
      <w:szCs w:val="21"/>
    </w:rPr>
  </w:style>
  <w:style w:type="character" w:customStyle="1" w:styleId="19">
    <w:name w:val="文档结构图 字符"/>
    <w:link w:val="2"/>
    <w:qFormat/>
    <w:uiPriority w:val="0"/>
    <w:rPr>
      <w:rFonts w:ascii="宋体"/>
      <w:kern w:val="2"/>
      <w:sz w:val="18"/>
      <w:szCs w:val="18"/>
    </w:rPr>
  </w:style>
  <w:style w:type="character" w:customStyle="1" w:styleId="20">
    <w:name w:val="页脚 字符"/>
    <w:link w:val="9"/>
    <w:qFormat/>
    <w:uiPriority w:val="99"/>
    <w:rPr>
      <w:kern w:val="2"/>
      <w:sz w:val="18"/>
      <w:szCs w:val="18"/>
    </w:rPr>
  </w:style>
  <w:style w:type="character" w:customStyle="1" w:styleId="21">
    <w:name w:val="批注文字 字符"/>
    <w:link w:val="3"/>
    <w:qFormat/>
    <w:uiPriority w:val="0"/>
    <w:rPr>
      <w:kern w:val="2"/>
      <w:sz w:val="21"/>
    </w:rPr>
  </w:style>
  <w:style w:type="character" w:customStyle="1" w:styleId="22">
    <w:name w:val="title31"/>
    <w:qFormat/>
    <w:uiPriority w:val="0"/>
    <w:rPr>
      <w:b/>
      <w:bCs/>
      <w:sz w:val="21"/>
      <w:szCs w:val="21"/>
    </w:rPr>
  </w:style>
  <w:style w:type="character" w:customStyle="1" w:styleId="23">
    <w:name w:val="页眉 字符"/>
    <w:link w:val="10"/>
    <w:qFormat/>
    <w:uiPriority w:val="0"/>
    <w:rPr>
      <w:kern w:val="2"/>
      <w:sz w:val="18"/>
      <w:szCs w:val="18"/>
    </w:rPr>
  </w:style>
  <w:style w:type="character" w:customStyle="1" w:styleId="24">
    <w:name w:val="批注主题 字符"/>
    <w:link w:val="12"/>
    <w:qFormat/>
    <w:uiPriority w:val="0"/>
    <w:rPr>
      <w:b/>
      <w:bCs/>
      <w:kern w:val="2"/>
      <w:sz w:val="21"/>
    </w:rPr>
  </w:style>
  <w:style w:type="paragraph" w:customStyle="1" w:styleId="25">
    <w:name w:val="附注一级"/>
    <w:basedOn w:val="1"/>
    <w:qFormat/>
    <w:uiPriority w:val="0"/>
    <w:pPr>
      <w:tabs>
        <w:tab w:val="left" w:pos="714"/>
      </w:tabs>
      <w:adjustRightInd w:val="0"/>
      <w:snapToGrid w:val="0"/>
      <w:spacing w:line="360" w:lineRule="atLeast"/>
      <w:ind w:left="720" w:hanging="734"/>
      <w:outlineLvl w:val="0"/>
    </w:pPr>
    <w:rPr>
      <w:rFonts w:ascii="黑体" w:hAnsi="宋体" w:eastAsia="黑体"/>
      <w:b/>
      <w:szCs w:val="28"/>
    </w:rPr>
  </w:style>
  <w:style w:type="paragraph" w:customStyle="1" w:styleId="26">
    <w:name w:val="Char"/>
    <w:basedOn w:val="1"/>
    <w:qFormat/>
    <w:uiPriority w:val="0"/>
    <w:pPr>
      <w:widowControl/>
      <w:spacing w:after="160" w:line="240" w:lineRule="exact"/>
      <w:jc w:val="left"/>
    </w:pPr>
    <w:rPr>
      <w:rFonts w:ascii="Verdana" w:hAnsi="Verdana"/>
      <w:kern w:val="0"/>
      <w:sz w:val="20"/>
      <w:lang w:eastAsia="en-US"/>
    </w:rPr>
  </w:style>
  <w:style w:type="character" w:customStyle="1" w:styleId="27">
    <w:name w:val="未处理的提及1"/>
    <w:basedOn w:val="15"/>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 </Company>
  <Pages>8</Pages>
  <Words>8249</Words>
  <Characters>9323</Characters>
  <Lines>308</Lines>
  <Paragraphs>260</Paragraphs>
  <TotalTime>22</TotalTime>
  <ScaleCrop>false</ScaleCrop>
  <LinksUpToDate>false</LinksUpToDate>
  <CharactersWithSpaces>9482</CharactersWithSpaces>
  <Application>WPS Office_12.1.0.20783_F1E327BC-269C-435d-A152-05C5408002CA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2019-12-19T06:44:00Z</dcterms:created>
  <dc:creator>as</dc:creator>
  <cp:lastModifiedBy>cdq</cp:lastModifiedBy>
  <cp:lastPrinted>2011-02-23T02:40:00Z</cp:lastPrinted>
  <dcterms:modified xsi:type="dcterms:W3CDTF">2025-04-17T08:50:22Z</dcterms:modified>
  <dc:title>关于下发《前次募集资金使用情况的审核程序》的通知</dc:title>
  <cp:revision>164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2052-12.1.0.20783</vt:lpwstr>
  </property>
  <property fmtid="{D5CDD505-2E9C-101B-9397-08002B2CF9AE}" pid="3" name="ICV">
    <vt:lpwstr>F91EBA708F5A4749A7FECB49EA90F3D3_12</vt:lpwstr>
  </property>
  <property fmtid="{D5CDD505-2E9C-101B-9397-08002B2CF9AE}" pid="4" name="KSOTemplateDocerSaveRecord">
    <vt:lpwstr>eyJoZGlkIjoiY2Q4MDAzNjNiM2EwYjNjY2VkN2I2ZWY4OTg5YTA1ZWYiLCJ1c2VySWQiOiIxMzk5OTUwMzQxIn0=</vt:lpwstr>
  </property>
</Properties>
</file>