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F6AB885">
      <w:pPr>
        <w:jc w:val="center"/>
        <w:rPr>
          <w:rFonts w:ascii="宋体" w:hAnsi="宋体" w:cs="宋体"/>
          <w:b/>
          <w:bCs/>
          <w:sz w:val="30"/>
          <w:szCs w:val="30"/>
        </w:rPr>
      </w:pPr>
      <w:r>
        <w:rPr>
          <w:rFonts w:hint="eastAsia" w:ascii="宋体" w:hAnsi="宋体" w:cs="宋体"/>
          <w:b/>
          <w:sz w:val="32"/>
          <w:szCs w:val="32"/>
        </w:rPr>
        <w:t>福建广生堂药业股份有限公司</w:t>
      </w:r>
    </w:p>
    <w:p w14:paraId="3C35CEC3">
      <w:pPr>
        <w:jc w:val="center"/>
        <w:rPr>
          <w:rFonts w:ascii="宋体" w:hAnsi="宋体" w:cs="宋体"/>
          <w:sz w:val="32"/>
          <w:szCs w:val="32"/>
        </w:rPr>
      </w:pPr>
      <w:r>
        <w:rPr>
          <w:rFonts w:hint="eastAsia" w:ascii="宋体" w:hAnsi="宋体" w:cs="宋体"/>
          <w:b/>
          <w:bCs/>
          <w:sz w:val="32"/>
          <w:szCs w:val="32"/>
        </w:rPr>
        <w:t>2024年度独立董事述职报告（任红）</w:t>
      </w:r>
    </w:p>
    <w:p w14:paraId="7749DFD6">
      <w:pPr>
        <w:spacing w:before="156" w:beforeLines="50" w:after="156" w:afterLines="50" w:line="360" w:lineRule="auto"/>
        <w:jc w:val="left"/>
        <w:rPr>
          <w:rFonts w:ascii="宋体" w:hAnsi="宋体" w:cs="宋体"/>
          <w:sz w:val="24"/>
          <w:szCs w:val="24"/>
        </w:rPr>
      </w:pPr>
      <w:r>
        <w:rPr>
          <w:rFonts w:hint="eastAsia" w:ascii="宋体" w:hAnsi="宋体" w:cs="宋体"/>
          <w:sz w:val="24"/>
          <w:szCs w:val="24"/>
          <w:shd w:val="clear" w:color="auto" w:fill="FFFFFF"/>
        </w:rPr>
        <w:t>各位股东及股东代表：</w:t>
      </w:r>
    </w:p>
    <w:p w14:paraId="681CFC24">
      <w:pPr>
        <w:widowControl w:val="0"/>
        <w:spacing w:line="360" w:lineRule="auto"/>
        <w:ind w:firstLine="480" w:firstLineChars="200"/>
        <w:rPr>
          <w:rFonts w:ascii="宋体" w:hAnsi="宋体" w:cs="宋体"/>
        </w:rPr>
      </w:pPr>
      <w:r>
        <w:rPr>
          <w:rFonts w:hint="eastAsia" w:ascii="宋体" w:hAnsi="宋体" w:cs="宋体"/>
          <w:sz w:val="24"/>
          <w:szCs w:val="22"/>
        </w:rPr>
        <w:t>2024年度，作为福建广生堂药业股份有限公司（以下简称“公司”或“广生堂”）的独立董事，本人严格按照《中华人民共和国公司法》（以下简称“《公司法》”）《中华人民共和国证券法》（以下简称“《证券法》”）《上市公司独立董事管理办法》等有关法律、法规、规范性文件及《公司章程》《独立董事制度》的规定和要求，本着对全体股东负责的态度，勤勉、忠实地履行独立董事职责，对公司重大事项发表客观、审慎、公正的事前认可或独立意见，积极维护公司利益和股东特别是中小股东的合法权益。本人于2024年6月24日换届后离任，现将本人2024年任期内的履职情况汇报如下：</w:t>
      </w:r>
      <w:r>
        <w:rPr>
          <w:rFonts w:hint="eastAsia" w:ascii="宋体" w:hAnsi="宋体" w:cs="宋体"/>
          <w:sz w:val="28"/>
          <w:szCs w:val="24"/>
        </w:rPr>
        <w:t xml:space="preserve"> </w:t>
      </w:r>
    </w:p>
    <w:p w14:paraId="3B01E465">
      <w:pPr>
        <w:pStyle w:val="2"/>
        <w:keepNext w:val="0"/>
        <w:keepLines w:val="0"/>
        <w:widowControl w:val="0"/>
        <w:spacing w:before="156" w:beforeLines="50" w:after="156" w:afterLines="50" w:line="360" w:lineRule="auto"/>
        <w:rPr>
          <w:rFonts w:ascii="宋体" w:hAnsi="宋体" w:cs="宋体"/>
          <w:bCs/>
          <w:szCs w:val="44"/>
        </w:rPr>
      </w:pPr>
      <w:r>
        <w:rPr>
          <w:rFonts w:hint="eastAsia" w:ascii="宋体" w:hAnsi="宋体" w:cs="宋体"/>
          <w:bCs/>
          <w:szCs w:val="44"/>
        </w:rPr>
        <w:t>一、独立董事的基本情况</w:t>
      </w:r>
    </w:p>
    <w:p w14:paraId="52A3BF12">
      <w:pPr>
        <w:pStyle w:val="3"/>
        <w:widowControl w:val="0"/>
        <w:ind w:firstLine="482"/>
        <w:rPr>
          <w:rFonts w:cs="宋体"/>
        </w:rPr>
      </w:pPr>
      <w:r>
        <w:rPr>
          <w:rFonts w:hint="eastAsia" w:cs="宋体"/>
        </w:rPr>
        <w:t>（一）独立董事工作履历、专业背景及兼职情况</w:t>
      </w:r>
    </w:p>
    <w:p w14:paraId="6EE60135">
      <w:pPr>
        <w:widowControl w:val="0"/>
        <w:spacing w:line="360" w:lineRule="auto"/>
        <w:ind w:firstLine="480" w:firstLineChars="200"/>
        <w:rPr>
          <w:rFonts w:ascii="宋体" w:hAnsi="宋体" w:cs="宋体"/>
          <w:sz w:val="24"/>
          <w:szCs w:val="22"/>
        </w:rPr>
      </w:pPr>
      <w:r>
        <w:rPr>
          <w:rFonts w:hint="eastAsia" w:ascii="宋体" w:hAnsi="宋体" w:cs="宋体"/>
          <w:sz w:val="24"/>
          <w:szCs w:val="22"/>
        </w:rPr>
        <w:t>任红，1960年出生，教授、博士生导师，中国国籍，无境外永久居留权，硕士研究生学历，重庆市第一届政协委员，重庆市第二、三、四届政协常委，第十三届全国政协委员。1983年7月毕业于重庆医学院医学一系临床医学专业，获学士学位；1988年7月毕业于重庆医科大学病毒性肝炎研究所，获得硕士学位。曾就职于川北医学院微生物教研室、重庆医科大学病毒性肝炎研究所、重庆医科大学附属第二医院等多家单位。1995年入选国家首批“百、千、万”人才工程国家级人选、“国家教育部首批跨世纪优秀人才”。先后获得“全国五一劳动奖章”、“全国留学回国先进个人”、“国家卫生部有突出贡献的中青年专家”、“国务院政府特殊津贴1992年”、“首届重庆市十大杰出青年”、“重庆市先进工作者”、“2011年振兴重庆争光贡献奖”等荣誉称号、重庆市第二期“两江学者”计划（传染病学岗位）特聘专家称号，重庆市二类人才。在肝病治疗和防治领域有独到的建树和成绩，主持完成国家科技重大专项，国家自然科学基金重点项目，教育部长江学者创新团队等20余项；主研项目先后获得国家科技进步三等奖，四川省科技进步一等奖，重庆市科技进步一等奖，中华医学奖二奖，教育部科技进步二等奖等二十余项重大奖项。在肝病领域顶尖杂志和SCI收录著名国际刊物上发表论文200余篇，共同主编《王宝恩肝脏病学》和《传染病学》规划教材7，8，及9版。现任重庆医科大学附属第二医院感染病科教授，主任医师、重庆医科大学病毒性肝炎研究所所长，国家重点学科重庆医科大学内科学（传染病学）学科带头人，感染性疾病分子生物学教育部重点实验室名誉主任、第八届国务院学科评议组成员，《中华肝脏病杂志》总编辑、Journal of Clinical and Translational Hepatology主编。曾任公司第四届董事会独立董事。</w:t>
      </w:r>
    </w:p>
    <w:p w14:paraId="08C94F22">
      <w:pPr>
        <w:pStyle w:val="3"/>
        <w:widowControl w:val="0"/>
        <w:ind w:firstLine="482"/>
        <w:rPr>
          <w:rFonts w:cs="宋体"/>
        </w:rPr>
      </w:pPr>
      <w:r>
        <w:rPr>
          <w:rFonts w:hint="eastAsia" w:cs="宋体"/>
        </w:rPr>
        <w:t>（二）独立性说明</w:t>
      </w:r>
    </w:p>
    <w:p w14:paraId="2DED8F03">
      <w:pPr>
        <w:widowControl w:val="0"/>
        <w:spacing w:line="360" w:lineRule="auto"/>
        <w:ind w:firstLine="480" w:firstLineChars="200"/>
        <w:rPr>
          <w:rFonts w:ascii="宋体" w:hAnsi="宋体" w:cs="宋体"/>
          <w:sz w:val="24"/>
          <w:szCs w:val="22"/>
        </w:rPr>
      </w:pPr>
      <w:r>
        <w:rPr>
          <w:rFonts w:hint="eastAsia" w:ascii="宋体" w:hAnsi="宋体" w:cs="宋体"/>
          <w:sz w:val="24"/>
          <w:szCs w:val="22"/>
        </w:rPr>
        <w:t>在担任公司独立董事期间，本人未在公司担任除独立董事以外的任何职务，也未在公司主要股东公司担任任何职务，与公司以及主要股东之间不存在妨碍本人进行独立客观判断的关系，不存在影响独立董事独立性的情况，符合《上市公司独立董事管理办法》《深圳证券交易所上市公司自律监管指引第2号——创业板上市公司规范运作》等法律、法规、规范性文件及《公司章程》《独立董事制度》中关于独立董事独立性的相关要求。</w:t>
      </w:r>
    </w:p>
    <w:p w14:paraId="0D9440C2">
      <w:pPr>
        <w:pStyle w:val="2"/>
        <w:keepNext w:val="0"/>
        <w:keepLines w:val="0"/>
        <w:widowControl w:val="0"/>
        <w:spacing w:before="156" w:beforeLines="50" w:after="156" w:afterLines="50" w:line="360" w:lineRule="auto"/>
        <w:rPr>
          <w:rFonts w:ascii="宋体" w:hAnsi="宋体" w:cs="宋体"/>
          <w:bCs/>
          <w:szCs w:val="44"/>
        </w:rPr>
      </w:pPr>
      <w:r>
        <w:rPr>
          <w:rFonts w:hint="eastAsia" w:ascii="宋体" w:hAnsi="宋体" w:cs="宋体"/>
          <w:bCs/>
          <w:szCs w:val="44"/>
        </w:rPr>
        <w:t>二、独立董事年度履职概况</w:t>
      </w:r>
    </w:p>
    <w:p w14:paraId="0B84FDB7">
      <w:pPr>
        <w:pStyle w:val="3"/>
        <w:widowControl w:val="0"/>
        <w:ind w:firstLine="482"/>
        <w:rPr>
          <w:rFonts w:cs="宋体"/>
        </w:rPr>
      </w:pPr>
      <w:r>
        <w:rPr>
          <w:rFonts w:hint="eastAsia" w:cs="宋体"/>
        </w:rPr>
        <w:t xml:space="preserve">（一）出席董事会及股东大会情况 </w:t>
      </w:r>
    </w:p>
    <w:p w14:paraId="0806018B">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公司共召开4次董事会和3次股东大会，本人均亲自出席会议。作为独立董事，任职期间本人能够投入足够的时间和精力，专业、高效地履行职责，认真审阅董事会会议的各项议案，按时出席公司组织召开的董事会，以严谨的态度行使表决权，没有缺席或连续两次未出席会议的情况，没有授权委托其他独立董事出席会议的情况。本人认为：公司股东大会、董事会的召集召开合法合规，重大事项均履行了合法有效的审批程序，会议相关决议符合公司整体利益，均未损害公司全体股东特别是中小股东的合法权益。本人对公司报告期内董事会各项议案及公司其他事项均投了赞成票，无提出异议的事项，也无反对、弃权的情形。报告期内，未有提议召开董事会情况发生。</w:t>
      </w:r>
    </w:p>
    <w:p w14:paraId="6975DD7A">
      <w:pPr>
        <w:pStyle w:val="3"/>
        <w:widowControl w:val="0"/>
        <w:ind w:firstLine="482"/>
        <w:rPr>
          <w:rFonts w:cs="宋体"/>
        </w:rPr>
      </w:pPr>
      <w:r>
        <w:rPr>
          <w:rFonts w:hint="eastAsia" w:cs="宋体"/>
        </w:rPr>
        <w:t xml:space="preserve">（二）出席董事会专门委员会、独立董事专门会议工作情况 </w:t>
      </w:r>
    </w:p>
    <w:p w14:paraId="69BE830F">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本人担任公司第四届董事会薪酬与考核委员会主任委员、第四届董事会提名委员会委员、第四届董事会审计委员会委员。按照公司《薪酬与考核委员会议事规则》《提名委员会议事规则》《审计委员会议事规则》</w:t>
      </w:r>
      <w:r>
        <w:rPr>
          <w:rFonts w:hint="eastAsia" w:ascii="宋体" w:hAnsi="宋体" w:cs="宋体"/>
          <w:sz w:val="24"/>
          <w:szCs w:val="22"/>
          <w:lang w:eastAsia="zh-CN"/>
        </w:rPr>
        <w:t>《</w:t>
      </w:r>
      <w:r>
        <w:rPr>
          <w:rFonts w:hint="eastAsia" w:ascii="宋体" w:hAnsi="宋体" w:cs="宋体"/>
          <w:sz w:val="24"/>
          <w:szCs w:val="22"/>
          <w:lang w:val="en-US" w:eastAsia="zh-CN"/>
        </w:rPr>
        <w:t>独立董事制度</w:t>
      </w:r>
      <w:r>
        <w:rPr>
          <w:rFonts w:hint="eastAsia" w:ascii="宋体" w:hAnsi="宋体" w:cs="宋体"/>
          <w:sz w:val="24"/>
          <w:szCs w:val="22"/>
          <w:lang w:eastAsia="zh-CN"/>
        </w:rPr>
        <w:t>》</w:t>
      </w:r>
      <w:r>
        <w:rPr>
          <w:rFonts w:hint="eastAsia" w:ascii="宋体" w:hAnsi="宋体" w:cs="宋体"/>
          <w:sz w:val="24"/>
          <w:szCs w:val="22"/>
        </w:rPr>
        <w:t>的相关要求，充分行使自己的各项合法权利和义务。</w:t>
      </w:r>
    </w:p>
    <w:p w14:paraId="2DB8999F">
      <w:pPr>
        <w:widowControl w:val="0"/>
        <w:spacing w:line="360" w:lineRule="auto"/>
        <w:ind w:firstLine="480" w:firstLineChars="200"/>
        <w:rPr>
          <w:rFonts w:ascii="宋体" w:hAnsi="宋体" w:cs="宋体"/>
          <w:sz w:val="24"/>
          <w:szCs w:val="22"/>
        </w:rPr>
      </w:pPr>
      <w:r>
        <w:rPr>
          <w:rFonts w:hint="eastAsia" w:ascii="宋体" w:hAnsi="宋体" w:cs="宋体"/>
          <w:sz w:val="24"/>
          <w:szCs w:val="22"/>
        </w:rPr>
        <w:t>1、参加并主持薪酬与考核委员会召开的1次会议，就2023年度薪酬与考核委员会工作报告、董事、监事及高级管理人员2023年薪酬确认以及2024年薪酬方案等事项进行审议，与各位委员达成一致意见后报送公司董事会；</w:t>
      </w:r>
    </w:p>
    <w:p w14:paraId="4CB6CC50">
      <w:pPr>
        <w:widowControl w:val="0"/>
        <w:spacing w:line="360" w:lineRule="auto"/>
        <w:ind w:firstLine="480" w:firstLineChars="200"/>
        <w:rPr>
          <w:rFonts w:ascii="宋体" w:hAnsi="宋体" w:cs="宋体"/>
          <w:sz w:val="24"/>
          <w:szCs w:val="22"/>
        </w:rPr>
      </w:pPr>
      <w:r>
        <w:rPr>
          <w:rFonts w:hint="eastAsia" w:ascii="宋体" w:hAnsi="宋体" w:cs="宋体"/>
          <w:sz w:val="24"/>
          <w:szCs w:val="22"/>
        </w:rPr>
        <w:t>2、参加提名委员会召开的1次会议，审核了换届选举拟任候选人等事项，充分了解候选人任职资格、教育背景、品德素养和履职能力，与各位委员达成一致意见后报送公司董事会；</w:t>
      </w:r>
    </w:p>
    <w:p w14:paraId="05804C16">
      <w:pPr>
        <w:widowControl w:val="0"/>
        <w:spacing w:line="360" w:lineRule="auto"/>
        <w:ind w:firstLine="480" w:firstLineChars="200"/>
        <w:rPr>
          <w:rFonts w:ascii="宋体" w:hAnsi="宋体" w:cs="宋体"/>
          <w:sz w:val="24"/>
          <w:szCs w:val="22"/>
        </w:rPr>
      </w:pPr>
      <w:r>
        <w:rPr>
          <w:rFonts w:hint="eastAsia" w:ascii="宋体" w:hAnsi="宋体" w:cs="宋体"/>
          <w:sz w:val="24"/>
          <w:szCs w:val="22"/>
        </w:rPr>
        <w:t>3、参加审计委员会召开的2次会议，审议并讨论了年度审计工作安排、定期财务报告、利润分配方案、内部控制、会计师事务所续聘等事项。严格审查公司内部控制制度及执行情况，与审计会计师进行沟通，协商确定年度财务报告审计工作时间安排，对公司财务报表进行审阅，并就审计过程中发现的问题与相关人员进行沟通，切实履行了审计委员会工作职责；</w:t>
      </w:r>
    </w:p>
    <w:p w14:paraId="25F3A8E2">
      <w:pPr>
        <w:widowControl w:val="0"/>
        <w:spacing w:line="360" w:lineRule="auto"/>
        <w:ind w:firstLine="480" w:firstLineChars="200"/>
        <w:rPr>
          <w:rFonts w:ascii="宋体" w:hAnsi="宋体" w:cs="宋体"/>
          <w:sz w:val="24"/>
          <w:szCs w:val="22"/>
        </w:rPr>
      </w:pPr>
      <w:r>
        <w:rPr>
          <w:rFonts w:hint="eastAsia" w:ascii="宋体" w:hAnsi="宋体" w:cs="宋体"/>
          <w:sz w:val="24"/>
          <w:szCs w:val="22"/>
        </w:rPr>
        <w:t>4、参加独立董事专门会议召开的1次会议，审议通过了关联交易等事项，关联交易事项履行了必要的法定程序，符合《公司法》《深圳证券交易所创业板股票上市规则》等相关法律法规及规范性文件的规定，不存在损害公司及股东尤其是中小股东利益的情形，符合公司整体长远利益。</w:t>
      </w:r>
    </w:p>
    <w:p w14:paraId="0FA2A51F">
      <w:pPr>
        <w:pStyle w:val="3"/>
        <w:ind w:firstLine="482"/>
        <w:rPr>
          <w:rFonts w:cs="宋体"/>
          <w:szCs w:val="22"/>
        </w:rPr>
      </w:pPr>
      <w:r>
        <w:rPr>
          <w:rFonts w:hint="eastAsia" w:cs="宋体"/>
          <w:szCs w:val="22"/>
        </w:rPr>
        <w:t>（三）</w:t>
      </w:r>
      <w:r>
        <w:rPr>
          <w:rFonts w:hint="eastAsia" w:cs="宋体"/>
          <w:shd w:val="clear" w:color="auto" w:fill="FFFFFF"/>
        </w:rPr>
        <w:t>与内部审计机构及会计师事务所的沟通情况</w:t>
      </w:r>
    </w:p>
    <w:p w14:paraId="6DA54085">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本人与公司内部审计部门及会计师事务所进行积极沟通，特别是年报审计期间，与内部审计人员及会计师事务所对重点审计事项、审计要点、审计人员配备等事项进行沟通，关注审计过程，督促审计进度，确保审计工作的及时、准确、客观、公正。</w:t>
      </w:r>
    </w:p>
    <w:p w14:paraId="77A9193C">
      <w:pPr>
        <w:pStyle w:val="3"/>
        <w:ind w:firstLine="482"/>
        <w:rPr>
          <w:rFonts w:cs="宋体"/>
        </w:rPr>
      </w:pPr>
      <w:r>
        <w:rPr>
          <w:rFonts w:hint="eastAsia" w:cs="宋体"/>
        </w:rPr>
        <w:t>（四）与中小股东的沟通交流情况</w:t>
      </w:r>
    </w:p>
    <w:p w14:paraId="2D3A1ACB">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报告期的任职期内，本人严格按照有关法律、法规的相关规定履行独立董事的职责。通过股东大会等方式与中小股东进行沟通交流，并以此作为桥梁加强与投资者间的互动，广泛听取投资者的意见和建议。</w:t>
      </w:r>
    </w:p>
    <w:p w14:paraId="2922AB4C">
      <w:pPr>
        <w:pStyle w:val="3"/>
        <w:widowControl w:val="0"/>
        <w:ind w:firstLine="482"/>
        <w:rPr>
          <w:rFonts w:cs="宋体"/>
        </w:rPr>
      </w:pPr>
      <w:r>
        <w:rPr>
          <w:rFonts w:hint="eastAsia" w:cs="宋体"/>
        </w:rPr>
        <w:t>（五）在公司现场工作情况</w:t>
      </w:r>
    </w:p>
    <w:p w14:paraId="32125C60">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报告期的任职期内，本人利用参加董事会、股东大会的机会对公司的战略规划、财务情况以及内部制度的建设及执行情况、董事会决议执行情况等进行充分了解， 与公司高管进行交流，了解公司的经营情况。日常经常通过电话、邮件、微信等工具与公司董事、经理层及相关人员保持密切联系，及时获悉公司各项重大事项的进展情况。本人也积极关注公司治理、信息披露事务管理，以及媒体等公共媒介有关公司的宣传和报道，时刻关注外部环境及市场变化对公司的影响，并及时与公司沟通相关内容。</w:t>
      </w:r>
    </w:p>
    <w:p w14:paraId="056E9995">
      <w:pPr>
        <w:pStyle w:val="3"/>
        <w:widowControl w:val="0"/>
        <w:ind w:firstLine="482"/>
        <w:rPr>
          <w:rFonts w:cs="宋体"/>
        </w:rPr>
      </w:pPr>
      <w:r>
        <w:rPr>
          <w:rFonts w:hint="eastAsia" w:cs="宋体"/>
        </w:rPr>
        <w:t>（六）公司配合独立董事工作情况</w:t>
      </w:r>
    </w:p>
    <w:p w14:paraId="7F06A046">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公司为独立董事行使职权提供了必要的工作条件并给予了积极有效的配合和支持，向本人详细讲解了公司的生产经营情况，提交了详细的会议文件，使本人能够依据相关材料和信息，作出独立、公正的判断。</w:t>
      </w:r>
    </w:p>
    <w:p w14:paraId="456695F9">
      <w:pPr>
        <w:pStyle w:val="2"/>
        <w:keepNext w:val="0"/>
        <w:keepLines w:val="0"/>
        <w:widowControl w:val="0"/>
        <w:spacing w:before="156" w:beforeLines="50" w:after="156" w:afterLines="50" w:line="360" w:lineRule="auto"/>
        <w:rPr>
          <w:rFonts w:ascii="宋体" w:hAnsi="宋体" w:cs="宋体"/>
          <w:bCs/>
          <w:szCs w:val="44"/>
        </w:rPr>
      </w:pPr>
      <w:bookmarkStart w:id="0" w:name="_Hlk161840145"/>
      <w:r>
        <w:rPr>
          <w:rFonts w:hint="eastAsia" w:ascii="宋体" w:hAnsi="宋体" w:cs="宋体"/>
          <w:bCs/>
          <w:szCs w:val="44"/>
        </w:rPr>
        <w:t>三、独立董事年度履职重点关注事项的情况</w:t>
      </w:r>
    </w:p>
    <w:p w14:paraId="0B9441B5">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报告期的任职期内，本人严格按照《公司法》《上市公司独立董事管理办法》等法律法规及《公司章程》的规定，勤勉尽责、独立、客观、公正地履行独立董事职责，重点关注事项如下：</w:t>
      </w:r>
    </w:p>
    <w:p w14:paraId="51A984D6">
      <w:pPr>
        <w:pStyle w:val="3"/>
        <w:widowControl w:val="0"/>
        <w:ind w:firstLine="482"/>
        <w:rPr>
          <w:rFonts w:cs="宋体"/>
        </w:rPr>
      </w:pPr>
      <w:r>
        <w:rPr>
          <w:rFonts w:hint="eastAsia" w:cs="宋体"/>
        </w:rPr>
        <w:t>（一）应当披露的关联交易情况</w:t>
      </w:r>
    </w:p>
    <w:p w14:paraId="6F59D58A">
      <w:pPr>
        <w:widowControl w:val="0"/>
        <w:spacing w:line="360" w:lineRule="auto"/>
        <w:ind w:firstLine="480" w:firstLineChars="200"/>
        <w:rPr>
          <w:rFonts w:ascii="宋体" w:hAnsi="宋体" w:cs="宋体"/>
          <w:sz w:val="24"/>
          <w:szCs w:val="22"/>
        </w:rPr>
      </w:pPr>
      <w:r>
        <w:rPr>
          <w:rFonts w:hint="eastAsia" w:ascii="宋体" w:hAnsi="宋体" w:cs="宋体"/>
          <w:sz w:val="24"/>
          <w:szCs w:val="22"/>
        </w:rPr>
        <w:t>2024年1月9日，公司召开第四届董事会第二十八次会议审议通过了《关于对外投资设立控股子公司暨关联交易的议案》。本人对该事项发表了事前认可意见和同意的独立意见；2024年3月29日，公司召开第四届董事会第二十九次会议审议通过了《关于终止部分&lt;技术服务合同&gt;暨关联交易的议案》。本人对该事项发表了同意的审核意见。</w:t>
      </w:r>
    </w:p>
    <w:p w14:paraId="6461FA21">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公司应披露的关联交易已按照现行法律法规和公司章程的规定，遵照市场化原则公平、公允、公正地确定交易价格，并履行必要的审议和披露程序。不存在损害公司及公司股东合法权益，特别是中小股东利益的情形。</w:t>
      </w:r>
    </w:p>
    <w:p w14:paraId="1DC5AC84">
      <w:pPr>
        <w:pStyle w:val="3"/>
        <w:widowControl w:val="0"/>
        <w:ind w:firstLine="482"/>
        <w:rPr>
          <w:rFonts w:cs="宋体"/>
        </w:rPr>
      </w:pPr>
      <w:r>
        <w:rPr>
          <w:rFonts w:hint="eastAsia" w:cs="宋体"/>
        </w:rPr>
        <w:t>（二）定期报告、内部控制评价报告披露情况</w:t>
      </w:r>
    </w:p>
    <w:p w14:paraId="43780657">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本人对公司的财务会计报告及定期报告中的财务信息、内部控制评价报告进行了重点关注和监督，本人认为公司的财务会计报告及定期报告中的财务信息、内部控制评价报告真实、准确、完整，符合相关法律法规的要求，没有重大的虚假记载、误导性陈述或重大遗漏。</w:t>
      </w:r>
    </w:p>
    <w:p w14:paraId="6E980EE5">
      <w:pPr>
        <w:pStyle w:val="3"/>
        <w:widowControl w:val="0"/>
        <w:ind w:firstLine="482"/>
        <w:rPr>
          <w:rFonts w:cs="宋体"/>
        </w:rPr>
      </w:pPr>
      <w:r>
        <w:rPr>
          <w:rFonts w:hint="eastAsia" w:cs="宋体"/>
        </w:rPr>
        <w:t>（三）聘用会计师事务所情况</w:t>
      </w:r>
    </w:p>
    <w:p w14:paraId="1639D9F8">
      <w:pPr>
        <w:widowControl w:val="0"/>
        <w:spacing w:line="360" w:lineRule="auto"/>
        <w:ind w:firstLine="480" w:firstLineChars="200"/>
        <w:rPr>
          <w:rFonts w:ascii="宋体" w:hAnsi="宋体" w:cs="宋体"/>
          <w:sz w:val="24"/>
          <w:szCs w:val="22"/>
        </w:rPr>
      </w:pPr>
      <w:r>
        <w:rPr>
          <w:rFonts w:hint="eastAsia" w:ascii="宋体" w:hAnsi="宋体" w:cs="宋体"/>
          <w:sz w:val="24"/>
          <w:szCs w:val="22"/>
        </w:rPr>
        <w:t>2024年4月18日，公司召开第四届董事会第三十次会议，审议通过了《关于续聘公司2024年度会计师事务所的议案》，同意公司续聘大华会计师事务所（特殊普通合伙）为公司2024年度财务报告及内部控制的审计机构。</w:t>
      </w:r>
    </w:p>
    <w:p w14:paraId="4EE38FF4">
      <w:pPr>
        <w:widowControl w:val="0"/>
        <w:spacing w:line="360" w:lineRule="auto"/>
        <w:ind w:firstLine="480" w:firstLineChars="200"/>
        <w:rPr>
          <w:rFonts w:ascii="宋体" w:hAnsi="宋体" w:cs="宋体"/>
          <w:sz w:val="24"/>
          <w:szCs w:val="22"/>
        </w:rPr>
      </w:pPr>
      <w:r>
        <w:rPr>
          <w:rFonts w:ascii="宋体" w:hAnsi="宋体" w:cs="宋体"/>
          <w:sz w:val="24"/>
          <w:szCs w:val="22"/>
        </w:rPr>
        <w:t>2024年5月13日</w:t>
      </w:r>
      <w:r>
        <w:rPr>
          <w:rFonts w:hint="eastAsia" w:ascii="宋体" w:hAnsi="宋体" w:cs="宋体"/>
          <w:sz w:val="24"/>
          <w:szCs w:val="22"/>
        </w:rPr>
        <w:t>，公司召开2023年年度股东大会，议案《关于续聘公司2024年度会计师事务所的议案》未获得通过。鉴于拟聘会计师事务所近期相关事项尚待公司进一步核实，经公司与大华会计师事务所（特殊普通合伙）协商，基于审慎原则，该议案未获得表决通过。</w:t>
      </w:r>
    </w:p>
    <w:p w14:paraId="08CF591A">
      <w:pPr>
        <w:pStyle w:val="3"/>
        <w:widowControl w:val="0"/>
        <w:ind w:firstLine="482"/>
        <w:rPr>
          <w:rFonts w:cs="宋体"/>
        </w:rPr>
      </w:pPr>
      <w:r>
        <w:rPr>
          <w:rFonts w:hint="eastAsia" w:cs="宋体"/>
        </w:rPr>
        <w:t>（四）董事、高级管理人员的薪酬情况</w:t>
      </w:r>
    </w:p>
    <w:p w14:paraId="1599FBF0">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公司董事及高级管理人员的薪酬符合公司绩效考核和薪酬制度的管理规定，严格按照考核结果发放，且薪酬方案科学、合理，符合行业薪酬水平与公司实际情况，不存在损害公司及公司股东特别是中小股东利益的情形。</w:t>
      </w:r>
    </w:p>
    <w:bookmarkEnd w:id="0"/>
    <w:p w14:paraId="1651D721">
      <w:pPr>
        <w:pStyle w:val="2"/>
        <w:keepNext w:val="0"/>
        <w:keepLines w:val="0"/>
        <w:widowControl w:val="0"/>
        <w:spacing w:before="156" w:beforeLines="50" w:after="156" w:afterLines="50" w:line="360" w:lineRule="auto"/>
        <w:rPr>
          <w:rFonts w:ascii="宋体" w:hAnsi="宋体" w:cs="宋体"/>
          <w:bCs/>
          <w:szCs w:val="44"/>
        </w:rPr>
      </w:pPr>
      <w:r>
        <w:rPr>
          <w:rFonts w:hint="eastAsia" w:ascii="宋体" w:hAnsi="宋体" w:cs="宋体"/>
          <w:bCs/>
          <w:szCs w:val="44"/>
        </w:rPr>
        <w:t>四、总体评价和建议</w:t>
      </w:r>
    </w:p>
    <w:p w14:paraId="5CB6D25F">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公司为本人各项工作的开展给予了大力的配合。本人始终坚持谨慎、勤勉、忠实的原则履行独立董事职责，在董事会召开之前审阅议案资料，在公司年审工作中充分发表意见，独立、客观、审慎地行使表决权。与公司董事会、监事会、经营管理层之间进行了良好有效的沟通。利用自身专业知识和经验，积极主动参与公司决策，认真审议公司董事会等会议的各项议案，推动公司不断完善治理结构，提高运作水平。切实维护了公司和全体股东，特别是中小股东的合法权益，促进公司的健康持续发展。</w:t>
      </w:r>
    </w:p>
    <w:p w14:paraId="6CB167FE">
      <w:pPr>
        <w:widowControl w:val="0"/>
        <w:spacing w:line="360" w:lineRule="auto"/>
        <w:ind w:firstLine="480" w:firstLineChars="200"/>
        <w:rPr>
          <w:rFonts w:ascii="宋体" w:hAnsi="宋体" w:cs="宋体"/>
          <w:sz w:val="24"/>
          <w:szCs w:val="22"/>
        </w:rPr>
      </w:pPr>
      <w:r>
        <w:rPr>
          <w:rFonts w:hint="eastAsia" w:ascii="宋体" w:hAnsi="宋体" w:cs="宋体"/>
          <w:sz w:val="24"/>
          <w:szCs w:val="22"/>
        </w:rPr>
        <w:t xml:space="preserve">本人在第四届董事会完成换届选举后不再担任公司任何职务，感谢公司董事会、管理层及相关人员，在本人履职的过程中给予的有效配合与支持。 </w:t>
      </w:r>
    </w:p>
    <w:p w14:paraId="6CEF612C">
      <w:pPr>
        <w:spacing w:before="156" w:beforeLines="50" w:line="360" w:lineRule="auto"/>
        <w:ind w:firstLine="480" w:firstLineChars="200"/>
        <w:rPr>
          <w:rFonts w:ascii="宋体" w:hAnsi="宋体" w:cs="宋体"/>
          <w:sz w:val="24"/>
          <w:szCs w:val="22"/>
        </w:rPr>
      </w:pPr>
      <w:r>
        <w:rPr>
          <w:rFonts w:hint="eastAsia" w:ascii="宋体" w:hAnsi="宋体" w:cs="宋体"/>
          <w:sz w:val="24"/>
          <w:szCs w:val="22"/>
        </w:rPr>
        <w:t xml:space="preserve">特此报告。 </w:t>
      </w:r>
    </w:p>
    <w:p w14:paraId="366FD663">
      <w:pPr>
        <w:spacing w:before="312" w:beforeLines="100" w:line="360" w:lineRule="auto"/>
        <w:ind w:firstLine="480" w:firstLineChars="200"/>
        <w:rPr>
          <w:rFonts w:ascii="宋体" w:hAnsi="宋体" w:cs="宋体"/>
          <w:sz w:val="24"/>
          <w:szCs w:val="22"/>
        </w:rPr>
      </w:pPr>
    </w:p>
    <w:p w14:paraId="7B80621D">
      <w:pPr>
        <w:spacing w:line="360" w:lineRule="auto"/>
        <w:jc w:val="right"/>
        <w:rPr>
          <w:rFonts w:ascii="宋体" w:hAnsi="宋体" w:cs="宋体"/>
          <w:sz w:val="24"/>
          <w:szCs w:val="22"/>
        </w:rPr>
      </w:pPr>
      <w:r>
        <w:rPr>
          <w:rFonts w:hint="eastAsia" w:ascii="宋体" w:hAnsi="宋体" w:cs="宋体"/>
          <w:sz w:val="24"/>
          <w:szCs w:val="22"/>
        </w:rPr>
        <w:t xml:space="preserve">                                         独立董事：任红</w:t>
      </w:r>
    </w:p>
    <w:p w14:paraId="7ECD3B9F">
      <w:pPr>
        <w:spacing w:line="360" w:lineRule="auto"/>
        <w:jc w:val="right"/>
        <w:rPr>
          <w:rFonts w:hint="eastAsia" w:ascii="宋体" w:hAnsi="宋体" w:cs="宋体"/>
          <w:sz w:val="24"/>
          <w:szCs w:val="22"/>
        </w:rPr>
      </w:pPr>
      <w:r>
        <w:rPr>
          <w:rFonts w:hint="eastAsia" w:ascii="宋体" w:hAnsi="宋体" w:cs="宋体"/>
          <w:sz w:val="24"/>
          <w:szCs w:val="22"/>
        </w:rPr>
        <w:t>2025年4月1</w:t>
      </w:r>
      <w:r>
        <w:rPr>
          <w:rFonts w:hint="eastAsia" w:ascii="宋体" w:hAnsi="宋体" w:cs="宋体"/>
          <w:sz w:val="24"/>
          <w:szCs w:val="22"/>
          <w:lang w:val="en-US" w:eastAsia="zh-CN"/>
        </w:rPr>
        <w:t>7</w:t>
      </w:r>
      <w:bookmarkStart w:id="1" w:name="_GoBack"/>
      <w:bookmarkEnd w:id="1"/>
      <w:r>
        <w:rPr>
          <w:rFonts w:hint="eastAsia" w:ascii="宋体" w:hAnsi="宋体" w:cs="宋体"/>
          <w:sz w:val="24"/>
          <w:szCs w:val="22"/>
        </w:rPr>
        <w:t>日</w:t>
      </w:r>
    </w:p>
    <w:sectPr>
      <w:footerReference r:id="rId3" w:type="default"/>
      <w:pgSz w:w="11906" w:h="16838"/>
      <w:pgMar w:top="1440" w:right="1800" w:bottom="1440" w:left="1800"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8C9A95">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Q4MDAzNjNiM2EwYjNjY2VkN2I2ZWY4OTg5YTA1ZWYifQ=="/>
  </w:docVars>
  <w:rsids>
    <w:rsidRoot w:val="00172A27"/>
    <w:rsid w:val="000436E7"/>
    <w:rsid w:val="00054B91"/>
    <w:rsid w:val="000A1409"/>
    <w:rsid w:val="000A2E0D"/>
    <w:rsid w:val="000A5E83"/>
    <w:rsid w:val="000D4183"/>
    <w:rsid w:val="001223DC"/>
    <w:rsid w:val="00147C4D"/>
    <w:rsid w:val="00172A27"/>
    <w:rsid w:val="00196A17"/>
    <w:rsid w:val="001A7213"/>
    <w:rsid w:val="00297361"/>
    <w:rsid w:val="002D475A"/>
    <w:rsid w:val="00307E40"/>
    <w:rsid w:val="00377D09"/>
    <w:rsid w:val="003C3EA5"/>
    <w:rsid w:val="003D2A1A"/>
    <w:rsid w:val="004B06D5"/>
    <w:rsid w:val="005115B1"/>
    <w:rsid w:val="00516EC6"/>
    <w:rsid w:val="005213F3"/>
    <w:rsid w:val="00566D1A"/>
    <w:rsid w:val="005D5ECC"/>
    <w:rsid w:val="006A5A2C"/>
    <w:rsid w:val="006C2BD3"/>
    <w:rsid w:val="0070573E"/>
    <w:rsid w:val="00712778"/>
    <w:rsid w:val="00766D3A"/>
    <w:rsid w:val="00790127"/>
    <w:rsid w:val="00794955"/>
    <w:rsid w:val="007B10A7"/>
    <w:rsid w:val="007F5F03"/>
    <w:rsid w:val="0095576F"/>
    <w:rsid w:val="00A06C97"/>
    <w:rsid w:val="00AF28C2"/>
    <w:rsid w:val="00B87F4E"/>
    <w:rsid w:val="00C17087"/>
    <w:rsid w:val="00C31956"/>
    <w:rsid w:val="00C70D88"/>
    <w:rsid w:val="00CD055E"/>
    <w:rsid w:val="00CE2722"/>
    <w:rsid w:val="00D72358"/>
    <w:rsid w:val="00D759E4"/>
    <w:rsid w:val="00DA4753"/>
    <w:rsid w:val="00E02088"/>
    <w:rsid w:val="00E3168B"/>
    <w:rsid w:val="00E65248"/>
    <w:rsid w:val="00F14A85"/>
    <w:rsid w:val="00F14BC9"/>
    <w:rsid w:val="00F4113D"/>
    <w:rsid w:val="00F52B42"/>
    <w:rsid w:val="00F63307"/>
    <w:rsid w:val="00F80F63"/>
    <w:rsid w:val="00F85C83"/>
    <w:rsid w:val="00FA185E"/>
    <w:rsid w:val="00FB2E3F"/>
    <w:rsid w:val="00FE40F6"/>
    <w:rsid w:val="01004732"/>
    <w:rsid w:val="018A0E13"/>
    <w:rsid w:val="024273C7"/>
    <w:rsid w:val="024824CB"/>
    <w:rsid w:val="0279651D"/>
    <w:rsid w:val="050745CD"/>
    <w:rsid w:val="061C6D0B"/>
    <w:rsid w:val="064674D8"/>
    <w:rsid w:val="0662161F"/>
    <w:rsid w:val="06B06402"/>
    <w:rsid w:val="07002189"/>
    <w:rsid w:val="07107A01"/>
    <w:rsid w:val="073F54F1"/>
    <w:rsid w:val="07776E98"/>
    <w:rsid w:val="079061F5"/>
    <w:rsid w:val="086055C9"/>
    <w:rsid w:val="087E3C7F"/>
    <w:rsid w:val="09B3627A"/>
    <w:rsid w:val="0AFD3352"/>
    <w:rsid w:val="0B1D276A"/>
    <w:rsid w:val="0C1237DB"/>
    <w:rsid w:val="0C293400"/>
    <w:rsid w:val="0C2C3B9B"/>
    <w:rsid w:val="0C5145C5"/>
    <w:rsid w:val="0C5D03D7"/>
    <w:rsid w:val="0CF1458C"/>
    <w:rsid w:val="0D2B64A6"/>
    <w:rsid w:val="0D624402"/>
    <w:rsid w:val="0D9A7DDF"/>
    <w:rsid w:val="0E134225"/>
    <w:rsid w:val="0E434D74"/>
    <w:rsid w:val="0F1108C5"/>
    <w:rsid w:val="0F2C4CF2"/>
    <w:rsid w:val="1014610A"/>
    <w:rsid w:val="10790217"/>
    <w:rsid w:val="110C1984"/>
    <w:rsid w:val="13152482"/>
    <w:rsid w:val="13B43E61"/>
    <w:rsid w:val="13F130E9"/>
    <w:rsid w:val="14750C21"/>
    <w:rsid w:val="14F55AF2"/>
    <w:rsid w:val="15F644F0"/>
    <w:rsid w:val="15FB679E"/>
    <w:rsid w:val="172018FF"/>
    <w:rsid w:val="175F6474"/>
    <w:rsid w:val="17E76B7B"/>
    <w:rsid w:val="17F7713F"/>
    <w:rsid w:val="19384807"/>
    <w:rsid w:val="1940737B"/>
    <w:rsid w:val="1A554F3D"/>
    <w:rsid w:val="1A68351D"/>
    <w:rsid w:val="1AA90ECC"/>
    <w:rsid w:val="1B213295"/>
    <w:rsid w:val="1B554868"/>
    <w:rsid w:val="1B826631"/>
    <w:rsid w:val="1C435E9C"/>
    <w:rsid w:val="1C8361D3"/>
    <w:rsid w:val="1D746DE1"/>
    <w:rsid w:val="1D823B78"/>
    <w:rsid w:val="1DF93FCB"/>
    <w:rsid w:val="1E0B27D7"/>
    <w:rsid w:val="1EAF1444"/>
    <w:rsid w:val="1EEA1C76"/>
    <w:rsid w:val="1F1F489E"/>
    <w:rsid w:val="1F682713"/>
    <w:rsid w:val="1FA060F1"/>
    <w:rsid w:val="1FCA14B3"/>
    <w:rsid w:val="1FD707C9"/>
    <w:rsid w:val="1FE33A99"/>
    <w:rsid w:val="203C5F6F"/>
    <w:rsid w:val="204D3C8B"/>
    <w:rsid w:val="20780352"/>
    <w:rsid w:val="209306CE"/>
    <w:rsid w:val="21001530"/>
    <w:rsid w:val="2171636C"/>
    <w:rsid w:val="230C6077"/>
    <w:rsid w:val="233649D3"/>
    <w:rsid w:val="233B0E5B"/>
    <w:rsid w:val="23EA7CFA"/>
    <w:rsid w:val="24986B99"/>
    <w:rsid w:val="24CF1271"/>
    <w:rsid w:val="24E64719"/>
    <w:rsid w:val="253C3E23"/>
    <w:rsid w:val="256B4972"/>
    <w:rsid w:val="256E359F"/>
    <w:rsid w:val="257B169F"/>
    <w:rsid w:val="2600395D"/>
    <w:rsid w:val="261A398C"/>
    <w:rsid w:val="261C413A"/>
    <w:rsid w:val="263E6EC9"/>
    <w:rsid w:val="268044BB"/>
    <w:rsid w:val="27A243AF"/>
    <w:rsid w:val="27B35B31"/>
    <w:rsid w:val="28046835"/>
    <w:rsid w:val="28D94B5E"/>
    <w:rsid w:val="29AF6584"/>
    <w:rsid w:val="29E72BF1"/>
    <w:rsid w:val="2A333A10"/>
    <w:rsid w:val="2A7E3A46"/>
    <w:rsid w:val="2A8D625F"/>
    <w:rsid w:val="2B070127"/>
    <w:rsid w:val="2B2B15E0"/>
    <w:rsid w:val="2BFA09B4"/>
    <w:rsid w:val="2C0C34F7"/>
    <w:rsid w:val="2C1D1E6D"/>
    <w:rsid w:val="2C5A1CD2"/>
    <w:rsid w:val="2CE77338"/>
    <w:rsid w:val="2D0D1776"/>
    <w:rsid w:val="2D2D7B0B"/>
    <w:rsid w:val="2DDF78D0"/>
    <w:rsid w:val="2E1732AD"/>
    <w:rsid w:val="2E9637FB"/>
    <w:rsid w:val="2FA20835"/>
    <w:rsid w:val="2FCC789E"/>
    <w:rsid w:val="2FD82F0E"/>
    <w:rsid w:val="30BA0288"/>
    <w:rsid w:val="30C51891"/>
    <w:rsid w:val="312572AF"/>
    <w:rsid w:val="32506E1A"/>
    <w:rsid w:val="326E63CA"/>
    <w:rsid w:val="34D73340"/>
    <w:rsid w:val="34FE3200"/>
    <w:rsid w:val="35002E80"/>
    <w:rsid w:val="3518034F"/>
    <w:rsid w:val="36AB673F"/>
    <w:rsid w:val="36D265FE"/>
    <w:rsid w:val="37F83D4F"/>
    <w:rsid w:val="3A9337A6"/>
    <w:rsid w:val="3AAD2152"/>
    <w:rsid w:val="3AED5139"/>
    <w:rsid w:val="3B044D5F"/>
    <w:rsid w:val="3B48454E"/>
    <w:rsid w:val="3B514E5E"/>
    <w:rsid w:val="3BA450D3"/>
    <w:rsid w:val="3BD935DE"/>
    <w:rsid w:val="3C2506B9"/>
    <w:rsid w:val="3D25605E"/>
    <w:rsid w:val="3D394CFE"/>
    <w:rsid w:val="3D754DAD"/>
    <w:rsid w:val="3D793569"/>
    <w:rsid w:val="3D98639D"/>
    <w:rsid w:val="3DDB2309"/>
    <w:rsid w:val="3F486108"/>
    <w:rsid w:val="3F80043B"/>
    <w:rsid w:val="403E2E27"/>
    <w:rsid w:val="40E55784"/>
    <w:rsid w:val="411C36E0"/>
    <w:rsid w:val="41DD26CB"/>
    <w:rsid w:val="41FE466F"/>
    <w:rsid w:val="421922FE"/>
    <w:rsid w:val="423914D6"/>
    <w:rsid w:val="423B0EA3"/>
    <w:rsid w:val="42DB23BC"/>
    <w:rsid w:val="43706133"/>
    <w:rsid w:val="445F032C"/>
    <w:rsid w:val="45DE3CAE"/>
    <w:rsid w:val="46145CE6"/>
    <w:rsid w:val="462E4D32"/>
    <w:rsid w:val="46A71178"/>
    <w:rsid w:val="478B11C3"/>
    <w:rsid w:val="47BC5EAE"/>
    <w:rsid w:val="481B3258"/>
    <w:rsid w:val="482D2279"/>
    <w:rsid w:val="49156D44"/>
    <w:rsid w:val="49765A93"/>
    <w:rsid w:val="49AE57F4"/>
    <w:rsid w:val="49B06B72"/>
    <w:rsid w:val="49FA3AEE"/>
    <w:rsid w:val="4A0D148A"/>
    <w:rsid w:val="4A1C7526"/>
    <w:rsid w:val="4A393588"/>
    <w:rsid w:val="4A3F65B8"/>
    <w:rsid w:val="4BFC1FBA"/>
    <w:rsid w:val="4CF856D5"/>
    <w:rsid w:val="4D1107FD"/>
    <w:rsid w:val="4EB878B4"/>
    <w:rsid w:val="4F400A92"/>
    <w:rsid w:val="4F625046"/>
    <w:rsid w:val="51DF265F"/>
    <w:rsid w:val="52EE029E"/>
    <w:rsid w:val="546D070F"/>
    <w:rsid w:val="54D51413"/>
    <w:rsid w:val="54F32F92"/>
    <w:rsid w:val="552B1DC7"/>
    <w:rsid w:val="55735A3E"/>
    <w:rsid w:val="55CE28D5"/>
    <w:rsid w:val="55DD4DF6"/>
    <w:rsid w:val="566E44C7"/>
    <w:rsid w:val="56C53152"/>
    <w:rsid w:val="57341536"/>
    <w:rsid w:val="57F80C60"/>
    <w:rsid w:val="5A540ABF"/>
    <w:rsid w:val="5ACB3F81"/>
    <w:rsid w:val="5B700045"/>
    <w:rsid w:val="5C1E5B2C"/>
    <w:rsid w:val="5C813653"/>
    <w:rsid w:val="5CB479E2"/>
    <w:rsid w:val="5D2B0AD4"/>
    <w:rsid w:val="5D3665F9"/>
    <w:rsid w:val="5D504448"/>
    <w:rsid w:val="5DA311AC"/>
    <w:rsid w:val="5DEF70AD"/>
    <w:rsid w:val="5E4567B6"/>
    <w:rsid w:val="5EE83A41"/>
    <w:rsid w:val="5F9E226B"/>
    <w:rsid w:val="5FCB78B7"/>
    <w:rsid w:val="5FD274EE"/>
    <w:rsid w:val="60CC4EDB"/>
    <w:rsid w:val="60FF4431"/>
    <w:rsid w:val="61916AE8"/>
    <w:rsid w:val="61B6615E"/>
    <w:rsid w:val="62BF6990"/>
    <w:rsid w:val="62D70186"/>
    <w:rsid w:val="636778A0"/>
    <w:rsid w:val="63CC5849"/>
    <w:rsid w:val="64AC4EB7"/>
    <w:rsid w:val="650023C2"/>
    <w:rsid w:val="65701A9C"/>
    <w:rsid w:val="65B243E4"/>
    <w:rsid w:val="65E36238"/>
    <w:rsid w:val="66333A39"/>
    <w:rsid w:val="667B76B0"/>
    <w:rsid w:val="677B255A"/>
    <w:rsid w:val="67891DEC"/>
    <w:rsid w:val="67BA07B7"/>
    <w:rsid w:val="67EC080C"/>
    <w:rsid w:val="68562439"/>
    <w:rsid w:val="68845596"/>
    <w:rsid w:val="68B63758"/>
    <w:rsid w:val="693C1432"/>
    <w:rsid w:val="6A605D12"/>
    <w:rsid w:val="6A752434"/>
    <w:rsid w:val="6AAC3C13"/>
    <w:rsid w:val="6AD220D3"/>
    <w:rsid w:val="6B7226D7"/>
    <w:rsid w:val="6C0F21D5"/>
    <w:rsid w:val="6C4B4B68"/>
    <w:rsid w:val="6CBC4B3B"/>
    <w:rsid w:val="6D9E6164"/>
    <w:rsid w:val="6E12425E"/>
    <w:rsid w:val="6E4E2A84"/>
    <w:rsid w:val="6F8E4AF7"/>
    <w:rsid w:val="6FF07C32"/>
    <w:rsid w:val="700468D2"/>
    <w:rsid w:val="700D4FE4"/>
    <w:rsid w:val="707C3099"/>
    <w:rsid w:val="70A63EDD"/>
    <w:rsid w:val="710D4B86"/>
    <w:rsid w:val="71CE3C38"/>
    <w:rsid w:val="72053EA8"/>
    <w:rsid w:val="72910586"/>
    <w:rsid w:val="738A4F1A"/>
    <w:rsid w:val="73925BAA"/>
    <w:rsid w:val="73BD72EC"/>
    <w:rsid w:val="74221778"/>
    <w:rsid w:val="748154B2"/>
    <w:rsid w:val="74B10200"/>
    <w:rsid w:val="74B25C81"/>
    <w:rsid w:val="7510601B"/>
    <w:rsid w:val="763273F7"/>
    <w:rsid w:val="76F27835"/>
    <w:rsid w:val="77690779"/>
    <w:rsid w:val="77C13386"/>
    <w:rsid w:val="78363509"/>
    <w:rsid w:val="784F725C"/>
    <w:rsid w:val="7A953169"/>
    <w:rsid w:val="7AA82DC9"/>
    <w:rsid w:val="7B595482"/>
    <w:rsid w:val="7BCC54AA"/>
    <w:rsid w:val="7C12239B"/>
    <w:rsid w:val="7D343777"/>
    <w:rsid w:val="7D3533F7"/>
    <w:rsid w:val="7E5E415E"/>
    <w:rsid w:val="7E6A6590"/>
    <w:rsid w:val="7EC10E3C"/>
    <w:rsid w:val="7F0C2FFD"/>
    <w:rsid w:val="7F4A62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9"/>
    <w:pPr>
      <w:keepNext/>
      <w:keepLines/>
      <w:spacing w:before="340" w:after="330" w:line="480" w:lineRule="auto"/>
      <w:outlineLvl w:val="0"/>
    </w:pPr>
    <w:rPr>
      <w:b/>
      <w:kern w:val="44"/>
      <w:sz w:val="24"/>
    </w:rPr>
  </w:style>
  <w:style w:type="paragraph" w:styleId="3">
    <w:name w:val="heading 2"/>
    <w:basedOn w:val="1"/>
    <w:next w:val="1"/>
    <w:unhideWhenUsed/>
    <w:qFormat/>
    <w:uiPriority w:val="0"/>
    <w:pPr>
      <w:spacing w:line="360" w:lineRule="auto"/>
      <w:ind w:firstLine="200" w:firstLineChars="200"/>
      <w:outlineLvl w:val="1"/>
    </w:pPr>
    <w:rPr>
      <w:rFonts w:ascii="宋体" w:hAnsi="宋体" w:cstheme="majorBidi"/>
      <w:b/>
      <w:bCs/>
      <w:sz w:val="24"/>
      <w:szCs w:val="32"/>
    </w:rPr>
  </w:style>
  <w:style w:type="paragraph" w:styleId="4">
    <w:name w:val="heading 3"/>
    <w:basedOn w:val="1"/>
    <w:next w:val="1"/>
    <w:qFormat/>
    <w:uiPriority w:val="9"/>
    <w:pPr>
      <w:keepNext/>
      <w:keepLines/>
      <w:spacing w:before="260" w:after="260" w:line="360" w:lineRule="auto"/>
      <w:outlineLvl w:val="2"/>
    </w:pPr>
    <w:rPr>
      <w:b/>
      <w:sz w:val="24"/>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14"/>
    <w:unhideWhenUsed/>
    <w:qFormat/>
    <w:uiPriority w:val="99"/>
    <w:pPr>
      <w:jc w:val="left"/>
    </w:pPr>
  </w:style>
  <w:style w:type="paragraph" w:styleId="6">
    <w:name w:val="Balloon Text"/>
    <w:basedOn w:val="1"/>
    <w:link w:val="15"/>
    <w:unhideWhenUsed/>
    <w:qFormat/>
    <w:uiPriority w:val="99"/>
    <w:rPr>
      <w:sz w:val="18"/>
      <w:szCs w:val="18"/>
    </w:rPr>
  </w:style>
  <w:style w:type="paragraph" w:styleId="7">
    <w:name w:val="footer"/>
    <w:basedOn w:val="1"/>
    <w:link w:val="20"/>
    <w:qFormat/>
    <w:uiPriority w:val="99"/>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annotation subject"/>
    <w:basedOn w:val="5"/>
    <w:next w:val="5"/>
    <w:link w:val="16"/>
    <w:unhideWhenUsed/>
    <w:qFormat/>
    <w:uiPriority w:val="99"/>
    <w:rPr>
      <w:b/>
      <w:bCs/>
    </w:rPr>
  </w:style>
  <w:style w:type="character" w:styleId="12">
    <w:name w:val="Strong"/>
    <w:basedOn w:val="11"/>
    <w:qFormat/>
    <w:uiPriority w:val="22"/>
    <w:rPr>
      <w:b/>
      <w:bCs/>
    </w:rPr>
  </w:style>
  <w:style w:type="character" w:styleId="13">
    <w:name w:val="annotation reference"/>
    <w:unhideWhenUsed/>
    <w:qFormat/>
    <w:uiPriority w:val="99"/>
    <w:rPr>
      <w:sz w:val="21"/>
      <w:szCs w:val="21"/>
    </w:rPr>
  </w:style>
  <w:style w:type="character" w:customStyle="1" w:styleId="14">
    <w:name w:val="批注文字 字符"/>
    <w:link w:val="5"/>
    <w:qFormat/>
    <w:uiPriority w:val="99"/>
    <w:rPr>
      <w:kern w:val="2"/>
      <w:sz w:val="21"/>
    </w:rPr>
  </w:style>
  <w:style w:type="character" w:customStyle="1" w:styleId="15">
    <w:name w:val="批注框文本 字符"/>
    <w:link w:val="6"/>
    <w:semiHidden/>
    <w:qFormat/>
    <w:uiPriority w:val="99"/>
    <w:rPr>
      <w:kern w:val="2"/>
      <w:sz w:val="18"/>
      <w:szCs w:val="18"/>
    </w:rPr>
  </w:style>
  <w:style w:type="character" w:customStyle="1" w:styleId="16">
    <w:name w:val="批注主题 字符"/>
    <w:link w:val="9"/>
    <w:semiHidden/>
    <w:qFormat/>
    <w:uiPriority w:val="99"/>
    <w:rPr>
      <w:b/>
      <w:bCs/>
      <w:kern w:val="2"/>
      <w:sz w:val="21"/>
    </w:rPr>
  </w:style>
  <w:style w:type="paragraph" w:customStyle="1" w:styleId="17">
    <w:name w:val="Default"/>
    <w:unhideWhenUsed/>
    <w:qFormat/>
    <w:uiPriority w:val="99"/>
    <w:pPr>
      <w:widowControl w:val="0"/>
      <w:autoSpaceDE w:val="0"/>
      <w:autoSpaceDN w:val="0"/>
      <w:adjustRightInd w:val="0"/>
    </w:pPr>
    <w:rPr>
      <w:rFonts w:hint="eastAsia" w:ascii="黑体" w:hAnsi="黑体" w:eastAsia="黑体" w:cs="Times New Roman"/>
      <w:color w:val="000000"/>
      <w:sz w:val="24"/>
      <w:lang w:val="en-US" w:eastAsia="zh-CN" w:bidi="ar-SA"/>
    </w:rPr>
  </w:style>
  <w:style w:type="paragraph" w:customStyle="1" w:styleId="18">
    <w:name w:val="修订1"/>
    <w:hidden/>
    <w:unhideWhenUsed/>
    <w:qFormat/>
    <w:uiPriority w:val="99"/>
    <w:rPr>
      <w:rFonts w:ascii="Times New Roman" w:hAnsi="Times New Roman" w:eastAsia="宋体" w:cs="Times New Roman"/>
      <w:kern w:val="2"/>
      <w:sz w:val="21"/>
      <w:lang w:val="en-US" w:eastAsia="zh-CN" w:bidi="ar-SA"/>
    </w:rPr>
  </w:style>
  <w:style w:type="character" w:customStyle="1" w:styleId="19">
    <w:name w:val="标题 3 字符1"/>
    <w:qFormat/>
    <w:uiPriority w:val="9"/>
    <w:rPr>
      <w:rFonts w:ascii="Calibri" w:hAnsi="Calibri" w:eastAsia="宋体"/>
      <w:b/>
      <w:sz w:val="24"/>
    </w:rPr>
  </w:style>
  <w:style w:type="character" w:customStyle="1" w:styleId="20">
    <w:name w:val="页脚 字符"/>
    <w:basedOn w:val="11"/>
    <w:link w:val="7"/>
    <w:qFormat/>
    <w:uiPriority w:val="99"/>
    <w:rPr>
      <w:kern w:val="2"/>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3951</Words>
  <Characters>4064</Characters>
  <Lines>1</Lines>
  <Paragraphs>8</Paragraphs>
  <TotalTime>5</TotalTime>
  <ScaleCrop>false</ScaleCrop>
  <LinksUpToDate>false</LinksUpToDate>
  <CharactersWithSpaces>4116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2024-03-21T08:45:00Z</dcterms:created>
  <dc:creator>王琴</dc:creator>
  <cp:lastModifiedBy>cdq</cp:lastModifiedBy>
  <cp:lastPrinted>2024-04-12T07:33:00Z</cp:lastPrinted>
  <dcterms:modified xsi:type="dcterms:W3CDTF">2025-04-14T06:31:53Z</dcterms:modified>
  <dc:title>福建广生堂药业股份有限公司</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B5841FEEC7744E43AC1B59D964C9DF12</vt:lpwstr>
  </property>
  <property fmtid="{D5CDD505-2E9C-101B-9397-08002B2CF9AE}" pid="4" name="KSOTemplateDocerSaveRecord">
    <vt:lpwstr>eyJoZGlkIjoiY2Q4MDAzNjNiM2EwYjNjY2VkN2I2ZWY4OTg5YTA1ZWYiLCJ1c2VySWQiOiIxMzk5OTUwMzQxIn0=</vt:lpwstr>
  </property>
</Properties>
</file>