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DB6D45">
      <w:pPr>
        <w:jc w:val="center"/>
        <w:rPr>
          <w:b/>
          <w:bCs/>
          <w:sz w:val="28"/>
          <w:szCs w:val="28"/>
        </w:rPr>
      </w:pPr>
      <w:r>
        <w:rPr>
          <w:b/>
          <w:bCs/>
          <w:sz w:val="28"/>
          <w:szCs w:val="28"/>
        </w:rPr>
        <w:t>福建广生堂药业股份有限公司</w:t>
      </w:r>
    </w:p>
    <w:p w14:paraId="307A3DAF">
      <w:pPr>
        <w:spacing w:after="156" w:afterLines="50" w:line="360" w:lineRule="auto"/>
        <w:jc w:val="center"/>
        <w:rPr>
          <w:b/>
          <w:bCs/>
          <w:sz w:val="28"/>
          <w:szCs w:val="28"/>
        </w:rPr>
      </w:pPr>
      <w:bookmarkStart w:id="0" w:name="_GoBack"/>
      <w:r>
        <w:rPr>
          <w:b/>
          <w:bCs/>
          <w:sz w:val="28"/>
          <w:szCs w:val="28"/>
        </w:rPr>
        <w:t>未来三年（2025-2027年）股东回报规划</w:t>
      </w:r>
    </w:p>
    <w:bookmarkEnd w:id="0"/>
    <w:p w14:paraId="004D2A01">
      <w:pPr>
        <w:spacing w:before="156" w:beforeLines="50" w:after="156" w:afterLines="50" w:line="360" w:lineRule="auto"/>
        <w:ind w:firstLine="480" w:firstLineChars="200"/>
        <w:rPr>
          <w:sz w:val="24"/>
        </w:rPr>
      </w:pPr>
      <w:r>
        <w:rPr>
          <w:sz w:val="24"/>
        </w:rPr>
        <w:t>为完善福建广生堂药业股份有限公司（以下简称“公司”）利润分配政策，建立对投资者持续、稳定、科学的回报机制，引导投资者树立长期投资和理性投资理念。根据《公司法》</w:t>
      </w:r>
      <w:r>
        <w:rPr>
          <w:rFonts w:hint="eastAsia"/>
          <w:sz w:val="24"/>
        </w:rPr>
        <w:t>《关于进一步落实上市公司现金分红有关事项的通知》</w:t>
      </w:r>
      <w:r>
        <w:rPr>
          <w:sz w:val="24"/>
        </w:rPr>
        <w:t>《上市公司监管指引第3号——上市公司现金分红》（证监会公告[2023]61号）等相关法律法规及《福建广生堂药业股份有限公司章程》的规定，结合公司实际情况，公司编制了《未来三年（2025年-2027年）股东回报规划》，具体内容如下：</w:t>
      </w:r>
    </w:p>
    <w:p w14:paraId="27E53558">
      <w:pPr>
        <w:spacing w:before="156" w:beforeLines="50" w:after="156" w:afterLines="50" w:line="360" w:lineRule="auto"/>
        <w:ind w:firstLine="482" w:firstLineChars="200"/>
        <w:rPr>
          <w:b/>
          <w:bCs/>
          <w:sz w:val="24"/>
          <w:szCs w:val="24"/>
        </w:rPr>
      </w:pPr>
      <w:r>
        <w:rPr>
          <w:b/>
          <w:bCs/>
          <w:sz w:val="24"/>
          <w:szCs w:val="24"/>
        </w:rPr>
        <w:t>一、股东回报规划考虑的因素</w:t>
      </w:r>
    </w:p>
    <w:p w14:paraId="557C7F96">
      <w:pPr>
        <w:spacing w:before="156" w:beforeLines="50" w:after="156" w:afterLines="50" w:line="360" w:lineRule="auto"/>
        <w:ind w:firstLine="480" w:firstLineChars="200"/>
        <w:rPr>
          <w:sz w:val="24"/>
          <w:szCs w:val="24"/>
        </w:rPr>
      </w:pPr>
      <w:r>
        <w:rPr>
          <w:sz w:val="24"/>
          <w:szCs w:val="24"/>
        </w:rPr>
        <w:t>公司将着眼于长远和可持续发展，综合考虑了企业实际情况，发展目标，建立对投资者持续、稳定、科学的回报规划和机制，从而对股利分配作出制度性安排，以保证股利分配政策的连续性和稳定性。</w:t>
      </w:r>
    </w:p>
    <w:p w14:paraId="4143FA20">
      <w:pPr>
        <w:spacing w:before="156" w:beforeLines="50" w:after="156" w:afterLines="50" w:line="360" w:lineRule="auto"/>
        <w:ind w:firstLine="482" w:firstLineChars="200"/>
        <w:rPr>
          <w:b/>
          <w:bCs/>
          <w:sz w:val="24"/>
          <w:szCs w:val="24"/>
        </w:rPr>
      </w:pPr>
      <w:r>
        <w:rPr>
          <w:b/>
          <w:bCs/>
          <w:sz w:val="24"/>
          <w:szCs w:val="24"/>
        </w:rPr>
        <w:t>二、股东回报规划的制定原则</w:t>
      </w:r>
    </w:p>
    <w:p w14:paraId="4C243B41">
      <w:pPr>
        <w:spacing w:before="156" w:beforeLines="50" w:after="156" w:afterLines="50" w:line="360" w:lineRule="auto"/>
        <w:ind w:firstLine="480" w:firstLineChars="200"/>
        <w:rPr>
          <w:sz w:val="24"/>
          <w:szCs w:val="24"/>
        </w:rPr>
      </w:pPr>
      <w:r>
        <w:rPr>
          <w:sz w:val="24"/>
          <w:szCs w:val="24"/>
        </w:rPr>
        <w:t>公司股东回报规划充分考虑和听取股东特别是中小股东的要求和意愿，在保证公司正常经营业务发展的前提下，坚持现金分红为主这一基本原则。在公司当年盈利且满足公司正常生产经营资金需求的情况下，公司应当采取现金方式分配股利。公司单一年度以现金方式分配的利润不少于当年度实现的可分配利润的10%。</w:t>
      </w:r>
    </w:p>
    <w:p w14:paraId="6274517F">
      <w:pPr>
        <w:spacing w:before="156" w:beforeLines="50" w:after="156" w:afterLines="50" w:line="360" w:lineRule="auto"/>
        <w:ind w:firstLine="482" w:firstLineChars="200"/>
        <w:rPr>
          <w:b/>
          <w:bCs/>
          <w:sz w:val="24"/>
          <w:szCs w:val="24"/>
        </w:rPr>
      </w:pPr>
      <w:r>
        <w:rPr>
          <w:b/>
          <w:bCs/>
          <w:sz w:val="24"/>
          <w:szCs w:val="24"/>
        </w:rPr>
        <w:t>三、股东回报规划制定周期</w:t>
      </w:r>
    </w:p>
    <w:p w14:paraId="38D84F5E">
      <w:pPr>
        <w:spacing w:before="156" w:beforeLines="50" w:after="156" w:afterLines="50" w:line="360" w:lineRule="auto"/>
        <w:ind w:firstLine="480" w:firstLineChars="200"/>
        <w:rPr>
          <w:sz w:val="24"/>
          <w:szCs w:val="24"/>
        </w:rPr>
      </w:pPr>
      <w:r>
        <w:rPr>
          <w:sz w:val="24"/>
          <w:szCs w:val="24"/>
        </w:rPr>
        <w:t>公司至少每三年重新审阅一次《股东分红回报规划》，并由公司董事会结合具体经营数据，充分考虑公司目前盈利规模、现金流量状况、发展所处阶段及当前资金需求，制定年终或中期分红方案。</w:t>
      </w:r>
    </w:p>
    <w:p w14:paraId="5EFB635B">
      <w:pPr>
        <w:spacing w:before="156" w:beforeLines="50" w:after="156" w:afterLines="50" w:line="360" w:lineRule="auto"/>
        <w:ind w:firstLine="482" w:firstLineChars="200"/>
        <w:rPr>
          <w:b/>
          <w:bCs/>
          <w:sz w:val="24"/>
          <w:szCs w:val="24"/>
        </w:rPr>
      </w:pPr>
      <w:r>
        <w:rPr>
          <w:b/>
          <w:bCs/>
          <w:sz w:val="24"/>
          <w:szCs w:val="24"/>
        </w:rPr>
        <w:t>四、2025年-2027年的股东回报规划</w:t>
      </w:r>
    </w:p>
    <w:p w14:paraId="2300A39E">
      <w:pPr>
        <w:spacing w:before="156" w:beforeLines="50" w:after="156" w:afterLines="50" w:line="360" w:lineRule="auto"/>
        <w:ind w:firstLine="480" w:firstLineChars="200"/>
        <w:rPr>
          <w:sz w:val="24"/>
          <w:szCs w:val="24"/>
        </w:rPr>
      </w:pPr>
      <w:r>
        <w:rPr>
          <w:sz w:val="24"/>
          <w:szCs w:val="24"/>
        </w:rPr>
        <w:t>（一）公司利润分配政策的基本原则</w:t>
      </w:r>
    </w:p>
    <w:p w14:paraId="03577A6C">
      <w:pPr>
        <w:spacing w:before="156" w:beforeLines="50" w:after="156" w:afterLines="50" w:line="360" w:lineRule="auto"/>
        <w:ind w:firstLine="480" w:firstLineChars="200"/>
        <w:rPr>
          <w:sz w:val="24"/>
          <w:szCs w:val="24"/>
        </w:rPr>
      </w:pPr>
      <w:r>
        <w:rPr>
          <w:sz w:val="24"/>
          <w:szCs w:val="24"/>
        </w:rPr>
        <w:t>公司实施积极的利润分配政策，重视对投资者的合理投资回报。公司应保持利润分配政策的连续性和稳定性，同时兼顾公司的长远利益、全体股东的整体利益及公司的可持续发展，利润分配不得超过可分配利润的范围，不得损害公司持续经营能力。公司董事会、监事会和股东大会对利润分配政策的决策和论证过程中应当充分考虑独立董事和公众投资者的意见。</w:t>
      </w:r>
    </w:p>
    <w:p w14:paraId="052F4C5A">
      <w:pPr>
        <w:spacing w:before="156" w:beforeLines="50" w:after="156" w:afterLines="50" w:line="360" w:lineRule="auto"/>
        <w:ind w:firstLine="480" w:firstLineChars="200"/>
        <w:rPr>
          <w:sz w:val="24"/>
          <w:szCs w:val="24"/>
        </w:rPr>
      </w:pPr>
      <w:r>
        <w:rPr>
          <w:sz w:val="24"/>
          <w:szCs w:val="24"/>
        </w:rPr>
        <w:t>（二）利润分配的方式</w:t>
      </w:r>
    </w:p>
    <w:p w14:paraId="45E19706">
      <w:pPr>
        <w:spacing w:before="156" w:beforeLines="50" w:after="156" w:afterLines="50" w:line="360" w:lineRule="auto"/>
        <w:ind w:firstLine="480" w:firstLineChars="200"/>
        <w:rPr>
          <w:sz w:val="24"/>
          <w:szCs w:val="24"/>
        </w:rPr>
      </w:pPr>
      <w:r>
        <w:rPr>
          <w:sz w:val="24"/>
          <w:szCs w:val="24"/>
        </w:rPr>
        <w:t>按照股东持有的股份比例分配利润；可以采取现金、股票或二者结合的方式分配股利。公司可以进行中期现金分红。</w:t>
      </w:r>
    </w:p>
    <w:p w14:paraId="310E6D84">
      <w:pPr>
        <w:spacing w:before="156" w:beforeLines="50" w:after="156" w:afterLines="50" w:line="360" w:lineRule="auto"/>
        <w:ind w:firstLine="480" w:firstLineChars="200"/>
        <w:rPr>
          <w:sz w:val="24"/>
          <w:szCs w:val="24"/>
        </w:rPr>
      </w:pPr>
      <w:r>
        <w:rPr>
          <w:sz w:val="24"/>
          <w:szCs w:val="24"/>
        </w:rPr>
        <w:t>公司主要采取现金分红的股利分配政策，即公司当年度实现盈利，在依法提取法定公积金、任意公积金后进行现金分红。</w:t>
      </w:r>
    </w:p>
    <w:p w14:paraId="390DD829">
      <w:pPr>
        <w:spacing w:before="156" w:beforeLines="50" w:after="156" w:afterLines="50" w:line="360" w:lineRule="auto"/>
        <w:ind w:firstLine="480" w:firstLineChars="200"/>
        <w:rPr>
          <w:sz w:val="24"/>
          <w:szCs w:val="24"/>
        </w:rPr>
      </w:pPr>
      <w:r>
        <w:rPr>
          <w:sz w:val="24"/>
          <w:szCs w:val="24"/>
        </w:rPr>
        <w:t>（三）现金分红的条件及比例</w:t>
      </w:r>
    </w:p>
    <w:p w14:paraId="530D0AE7">
      <w:pPr>
        <w:spacing w:before="156" w:beforeLines="50" w:after="156" w:afterLines="50" w:line="360" w:lineRule="auto"/>
        <w:ind w:firstLine="480" w:firstLineChars="200"/>
        <w:rPr>
          <w:sz w:val="24"/>
          <w:szCs w:val="24"/>
        </w:rPr>
      </w:pPr>
      <w:r>
        <w:rPr>
          <w:sz w:val="24"/>
          <w:szCs w:val="24"/>
        </w:rPr>
        <w:t>在公司当年盈利且满足公司正常生产经营资金需求的情况下，公司应当采取现金方式分配股利。公司单一年度以现金方式分配的利润不少于当年度实现的可分配利润的10%。</w:t>
      </w:r>
    </w:p>
    <w:p w14:paraId="61AEC49C">
      <w:pPr>
        <w:spacing w:before="156" w:beforeLines="50" w:after="156" w:afterLines="50" w:line="360" w:lineRule="auto"/>
        <w:ind w:firstLine="480" w:firstLineChars="200"/>
        <w:rPr>
          <w:sz w:val="24"/>
          <w:szCs w:val="24"/>
        </w:rPr>
      </w:pPr>
      <w:r>
        <w:rPr>
          <w:sz w:val="24"/>
          <w:szCs w:val="24"/>
        </w:rPr>
        <w:t>公司董事会应综合考虑所处行业特点、发展阶段、自身经营模式、盈利水平以及是否有重大资金支出安排等因素，区分下列情形，并按照章程规定的程序，提出差异化的现金分红政策：</w:t>
      </w:r>
    </w:p>
    <w:p w14:paraId="772FD98D">
      <w:pPr>
        <w:spacing w:before="156" w:beforeLines="50" w:after="156" w:afterLines="50" w:line="360" w:lineRule="auto"/>
        <w:ind w:firstLine="480" w:firstLineChars="200"/>
        <w:rPr>
          <w:sz w:val="24"/>
          <w:szCs w:val="24"/>
        </w:rPr>
      </w:pPr>
      <w:r>
        <w:rPr>
          <w:sz w:val="24"/>
          <w:szCs w:val="24"/>
        </w:rPr>
        <w:t>1、公司发展阶段属成熟期且无重大资金支出安排的，进行利润分配时，现金分红在本次利润分配中所占比例最低应达到80%；</w:t>
      </w:r>
    </w:p>
    <w:p w14:paraId="7C970D93">
      <w:pPr>
        <w:spacing w:before="156" w:beforeLines="50" w:after="156" w:afterLines="50" w:line="360" w:lineRule="auto"/>
        <w:ind w:firstLine="480" w:firstLineChars="200"/>
        <w:rPr>
          <w:sz w:val="24"/>
          <w:szCs w:val="24"/>
        </w:rPr>
      </w:pPr>
      <w:r>
        <w:rPr>
          <w:sz w:val="24"/>
          <w:szCs w:val="24"/>
        </w:rPr>
        <w:t>2、公司发展阶段属成熟期且有重大资金支出安排的，进行利润分配时，现金分红在本次利润分配中所占比例最低应达到40%；</w:t>
      </w:r>
    </w:p>
    <w:p w14:paraId="7BE89015">
      <w:pPr>
        <w:spacing w:before="156" w:beforeLines="50" w:after="156" w:afterLines="50" w:line="360" w:lineRule="auto"/>
        <w:ind w:firstLine="480" w:firstLineChars="200"/>
        <w:rPr>
          <w:sz w:val="24"/>
          <w:szCs w:val="24"/>
        </w:rPr>
      </w:pPr>
      <w:r>
        <w:rPr>
          <w:sz w:val="24"/>
          <w:szCs w:val="24"/>
        </w:rPr>
        <w:t>3、公司发展阶段属成长期且有重大资金支出安排的，进行利润分配时，现金分红在本次利润分配中所占比例最低应达到20%；</w:t>
      </w:r>
    </w:p>
    <w:p w14:paraId="731D89A2">
      <w:pPr>
        <w:spacing w:before="156" w:beforeLines="50" w:after="156" w:afterLines="50" w:line="360" w:lineRule="auto"/>
        <w:ind w:firstLine="480" w:firstLineChars="200"/>
        <w:rPr>
          <w:sz w:val="24"/>
          <w:szCs w:val="24"/>
        </w:rPr>
      </w:pPr>
      <w:r>
        <w:rPr>
          <w:sz w:val="24"/>
          <w:szCs w:val="24"/>
        </w:rPr>
        <w:t>公司发展阶段不易区分但有重大资金支出安排的，可以按照前项规定处理。</w:t>
      </w:r>
    </w:p>
    <w:p w14:paraId="59B03379">
      <w:pPr>
        <w:spacing w:before="156" w:beforeLines="50" w:after="156" w:afterLines="50" w:line="360" w:lineRule="auto"/>
        <w:ind w:firstLine="480" w:firstLineChars="200"/>
        <w:rPr>
          <w:sz w:val="24"/>
          <w:szCs w:val="24"/>
        </w:rPr>
      </w:pPr>
      <w:r>
        <w:rPr>
          <w:sz w:val="24"/>
          <w:szCs w:val="24"/>
        </w:rPr>
        <w:t>重大投资计划或重大现金支出是指：公司未来十二个月内拟对外投资、收购资产或者购买设备、建筑物的累计支出达到或者超过公司最近一期经审计净资产的20%，且绝对值达到5,000万元。公司原则上在每年年度股东大会审议通过后进行一次现金分红，公司董事会可以根据公司的盈利状况及资金需求状况提议公司进行中期现金分红。</w:t>
      </w:r>
    </w:p>
    <w:p w14:paraId="6BF22C9F">
      <w:pPr>
        <w:spacing w:before="156" w:beforeLines="50" w:after="156" w:afterLines="50" w:line="360" w:lineRule="auto"/>
        <w:ind w:firstLine="480" w:firstLineChars="200"/>
        <w:rPr>
          <w:sz w:val="24"/>
          <w:szCs w:val="24"/>
        </w:rPr>
      </w:pPr>
      <w:r>
        <w:rPr>
          <w:sz w:val="24"/>
          <w:szCs w:val="24"/>
        </w:rPr>
        <w:t>（四）股票股利分配的条件</w:t>
      </w:r>
    </w:p>
    <w:p w14:paraId="5B0335A9">
      <w:pPr>
        <w:spacing w:before="156" w:beforeLines="50" w:after="156" w:afterLines="50" w:line="360" w:lineRule="auto"/>
        <w:ind w:firstLine="480" w:firstLineChars="200"/>
        <w:rPr>
          <w:sz w:val="24"/>
          <w:szCs w:val="24"/>
        </w:rPr>
      </w:pPr>
      <w:r>
        <w:rPr>
          <w:sz w:val="24"/>
          <w:szCs w:val="24"/>
        </w:rPr>
        <w:t>若公司收入增长快速，并且董事会认为公司股票价格与公司股本规模不匹配时，可以在满足上述现金股利分配之余，提出并实施股票股利分配预案。采用股票股利进行利润分配的，应当具有公司成长性、每股净资产的摊薄等真实合理因素。</w:t>
      </w:r>
    </w:p>
    <w:p w14:paraId="69E568F5">
      <w:pPr>
        <w:spacing w:before="156" w:beforeLines="50" w:after="156" w:afterLines="50" w:line="360" w:lineRule="auto"/>
        <w:ind w:firstLine="480" w:firstLineChars="200"/>
        <w:rPr>
          <w:sz w:val="24"/>
          <w:szCs w:val="24"/>
        </w:rPr>
      </w:pPr>
      <w:r>
        <w:rPr>
          <w:sz w:val="24"/>
          <w:szCs w:val="24"/>
        </w:rPr>
        <w:t>（五）决策程序和机制</w:t>
      </w:r>
    </w:p>
    <w:p w14:paraId="526692DE">
      <w:pPr>
        <w:spacing w:before="156" w:beforeLines="50" w:after="156" w:afterLines="50" w:line="360" w:lineRule="auto"/>
        <w:ind w:firstLine="480" w:firstLineChars="200"/>
        <w:rPr>
          <w:sz w:val="24"/>
          <w:szCs w:val="24"/>
        </w:rPr>
      </w:pPr>
      <w:r>
        <w:rPr>
          <w:sz w:val="24"/>
          <w:szCs w:val="24"/>
        </w:rPr>
        <w:t>公司利润分配预案由董事会提出，但需事先征求独立董事和监事会的意见，独立董事应对利润分配预案发表独立意见，监事会应对利润分配预案提出审核意见。利润分配预案经二分之一以上独立董事及监事会审核同意，并经董事会审议通过后提请股东大会审议。公司董事会、监事会和股东大会对利润分配政策的决策和论证过程中应当充分考虑独立董事、外部监事和公众投资者的意见。</w:t>
      </w:r>
    </w:p>
    <w:p w14:paraId="74AB26E7">
      <w:pPr>
        <w:spacing w:before="156" w:beforeLines="50" w:after="156" w:afterLines="50" w:line="360" w:lineRule="auto"/>
        <w:ind w:firstLine="480" w:firstLineChars="200"/>
        <w:rPr>
          <w:sz w:val="24"/>
          <w:szCs w:val="24"/>
        </w:rPr>
      </w:pPr>
      <w:r>
        <w:rPr>
          <w:sz w:val="24"/>
          <w:szCs w:val="24"/>
        </w:rPr>
        <w:t>股东大会审议利润分配方案时，公司应为股东提供网络投票方式，通过多种渠道主动与股东特别是中小股东进行沟通和交流，充分听取中小股东的意见和诉求，并及时答复中小股东关心的问题。公司股东大会对利润分配方案作出决议后，公司董事会须在股东大会召开后2个月内完成股利（或股份）的派发事项。</w:t>
      </w:r>
    </w:p>
    <w:p w14:paraId="37C91649">
      <w:pPr>
        <w:spacing w:before="156" w:beforeLines="50" w:after="156" w:afterLines="50" w:line="360" w:lineRule="auto"/>
        <w:ind w:firstLine="480" w:firstLineChars="200"/>
        <w:rPr>
          <w:sz w:val="24"/>
          <w:szCs w:val="24"/>
        </w:rPr>
      </w:pPr>
      <w:r>
        <w:rPr>
          <w:sz w:val="24"/>
          <w:szCs w:val="24"/>
        </w:rPr>
        <w:t>如公司当年盈利且满足现金分红条件、但董事会未按照既定利润分配政策向股东大会提交利润分配预案的，应当在定期报告中说明原因、未用于分红的资金留存公司的用途和使用计划，并由独立董事发表独立意见。</w:t>
      </w:r>
    </w:p>
    <w:p w14:paraId="435AC6EA">
      <w:pPr>
        <w:spacing w:before="156" w:beforeLines="50" w:after="156" w:afterLines="50" w:line="360" w:lineRule="auto"/>
        <w:ind w:firstLine="480" w:firstLineChars="200"/>
        <w:rPr>
          <w:sz w:val="24"/>
          <w:szCs w:val="24"/>
        </w:rPr>
      </w:pPr>
      <w:r>
        <w:rPr>
          <w:sz w:val="24"/>
          <w:szCs w:val="24"/>
        </w:rPr>
        <w:t>（六）公司利润分配政策的变更</w:t>
      </w:r>
    </w:p>
    <w:p w14:paraId="09B863EB">
      <w:pPr>
        <w:spacing w:before="156" w:beforeLines="50" w:after="156" w:afterLines="50" w:line="360" w:lineRule="auto"/>
        <w:ind w:firstLine="480" w:firstLineChars="200"/>
        <w:rPr>
          <w:sz w:val="24"/>
          <w:szCs w:val="24"/>
        </w:rPr>
      </w:pPr>
      <w:r>
        <w:rPr>
          <w:sz w:val="24"/>
          <w:szCs w:val="24"/>
        </w:rPr>
        <w:t>公司将严格执行公司章程确定的现金分红政策以及股东大会审议批准的现金分红具体方案。如因外部经营环境或者自身经营状况发生较大变化而需要调整利润分配政策尤其现金分红政策的，应以股东权益保护为出发点，在股东大会提案中详细论证和说明原因；调整后的利润分配政策不得违反中国证监会和证券交易所的有关规定；有关调整利润分配政策的议案，须经董事会、监事会审议通过后提交股东大会批准，独立董事应当对该议案发表独立意见，股东大会审议该议案时应当经出席股东大会的股东所持表决权的2/3以上通过。股东大会进行审议时，应当通过多种渠道主动与股东特别是中小股东进行沟通和交流，充分听取中小股东的意见和诉求，并及时答复中小股东关心的问题。</w:t>
      </w:r>
    </w:p>
    <w:p w14:paraId="10BFD156">
      <w:pPr>
        <w:spacing w:before="156" w:beforeLines="50" w:after="156" w:afterLines="50" w:line="360" w:lineRule="auto"/>
        <w:ind w:firstLine="480" w:firstLineChars="200"/>
        <w:rPr>
          <w:sz w:val="24"/>
          <w:szCs w:val="24"/>
        </w:rPr>
      </w:pPr>
      <w:r>
        <w:rPr>
          <w:sz w:val="24"/>
          <w:szCs w:val="24"/>
        </w:rPr>
        <w:t>公司外部经营环境或者自身经营状况发生较大变化是指以下情形之一：</w:t>
      </w:r>
    </w:p>
    <w:p w14:paraId="3F9DD3EC">
      <w:pPr>
        <w:spacing w:before="156" w:beforeLines="50" w:after="156" w:afterLines="50" w:line="360" w:lineRule="auto"/>
        <w:ind w:firstLine="480" w:firstLineChars="200"/>
        <w:rPr>
          <w:sz w:val="24"/>
          <w:szCs w:val="24"/>
        </w:rPr>
      </w:pPr>
      <w:r>
        <w:rPr>
          <w:sz w:val="24"/>
          <w:szCs w:val="24"/>
        </w:rPr>
        <w:t>1、因国家法律、法规及行业政策发生重大变化，对公司生产经营造成重大不利影响而导致公司经营亏损；</w:t>
      </w:r>
    </w:p>
    <w:p w14:paraId="03CC5151">
      <w:pPr>
        <w:spacing w:before="156" w:beforeLines="50" w:after="156" w:afterLines="50" w:line="360" w:lineRule="auto"/>
        <w:ind w:firstLine="480" w:firstLineChars="200"/>
        <w:rPr>
          <w:sz w:val="24"/>
          <w:szCs w:val="24"/>
        </w:rPr>
      </w:pPr>
      <w:r>
        <w:rPr>
          <w:sz w:val="24"/>
          <w:szCs w:val="24"/>
        </w:rPr>
        <w:t>2、因出现战争、自然灾害等不可抗力因素，对公司生产经营造成重大不利影响而导致公司经营亏损；</w:t>
      </w:r>
    </w:p>
    <w:p w14:paraId="325B3560">
      <w:pPr>
        <w:spacing w:before="156" w:beforeLines="50" w:after="156" w:afterLines="50" w:line="360" w:lineRule="auto"/>
        <w:ind w:firstLine="480" w:firstLineChars="200"/>
        <w:rPr>
          <w:sz w:val="24"/>
          <w:szCs w:val="24"/>
        </w:rPr>
      </w:pPr>
      <w:r>
        <w:rPr>
          <w:sz w:val="24"/>
          <w:szCs w:val="24"/>
        </w:rPr>
        <w:t>3、因外部经营环境或者自身经营状况发生重大变化，公司连续三个会计年度经营活动产生的现金流量净额与净利润之比均低于20%；</w:t>
      </w:r>
    </w:p>
    <w:p w14:paraId="75679234">
      <w:pPr>
        <w:spacing w:before="156" w:beforeLines="50" w:after="156" w:afterLines="50" w:line="360" w:lineRule="auto"/>
        <w:ind w:firstLine="480" w:firstLineChars="200"/>
        <w:rPr>
          <w:sz w:val="24"/>
          <w:szCs w:val="24"/>
        </w:rPr>
      </w:pPr>
      <w:r>
        <w:rPr>
          <w:sz w:val="24"/>
          <w:szCs w:val="24"/>
        </w:rPr>
        <w:t>4、中国证监会和证券交易所规定的其他事项。</w:t>
      </w:r>
    </w:p>
    <w:p w14:paraId="0430A109">
      <w:pPr>
        <w:spacing w:after="156" w:afterLines="50" w:line="360" w:lineRule="auto"/>
        <w:ind w:firstLine="480" w:firstLineChars="200"/>
        <w:rPr>
          <w:sz w:val="24"/>
          <w:szCs w:val="24"/>
        </w:rPr>
      </w:pPr>
    </w:p>
    <w:p w14:paraId="7E5844B9">
      <w:pPr>
        <w:spacing w:after="156" w:afterLines="50" w:line="360" w:lineRule="auto"/>
        <w:ind w:firstLine="480" w:firstLineChars="200"/>
        <w:jc w:val="right"/>
        <w:rPr>
          <w:sz w:val="24"/>
          <w:szCs w:val="24"/>
        </w:rPr>
      </w:pPr>
    </w:p>
    <w:p w14:paraId="2724B613">
      <w:pPr>
        <w:spacing w:after="156" w:afterLines="50" w:line="360" w:lineRule="auto"/>
        <w:ind w:firstLine="482" w:firstLineChars="200"/>
        <w:jc w:val="right"/>
        <w:rPr>
          <w:b/>
          <w:bCs/>
          <w:sz w:val="24"/>
          <w:szCs w:val="24"/>
        </w:rPr>
      </w:pPr>
      <w:r>
        <w:rPr>
          <w:b/>
          <w:bCs/>
          <w:sz w:val="24"/>
          <w:szCs w:val="24"/>
        </w:rPr>
        <w:t>福建广生堂药业股份有限公司董事会</w:t>
      </w:r>
    </w:p>
    <w:p w14:paraId="7DB34A06">
      <w:pPr>
        <w:spacing w:after="156" w:afterLines="50" w:line="360" w:lineRule="auto"/>
        <w:ind w:firstLine="482" w:firstLineChars="200"/>
        <w:jc w:val="right"/>
        <w:rPr>
          <w:b/>
          <w:bCs/>
          <w:sz w:val="24"/>
          <w:szCs w:val="24"/>
        </w:rPr>
      </w:pPr>
      <w:r>
        <w:rPr>
          <w:b/>
          <w:bCs/>
          <w:sz w:val="24"/>
          <w:szCs w:val="24"/>
        </w:rPr>
        <w:t>2025年</w:t>
      </w:r>
      <w:r>
        <w:rPr>
          <w:rFonts w:hint="eastAsia"/>
          <w:b/>
          <w:bCs/>
          <w:sz w:val="24"/>
          <w:szCs w:val="24"/>
        </w:rPr>
        <w:t>4</w:t>
      </w:r>
      <w:r>
        <w:rPr>
          <w:b/>
          <w:bCs/>
          <w:sz w:val="24"/>
          <w:szCs w:val="24"/>
        </w:rPr>
        <w:t>月</w:t>
      </w:r>
      <w:r>
        <w:rPr>
          <w:rFonts w:hint="eastAsia"/>
          <w:b/>
          <w:bCs/>
          <w:sz w:val="24"/>
          <w:szCs w:val="24"/>
        </w:rPr>
        <w:t>2</w:t>
      </w:r>
      <w:r>
        <w:rPr>
          <w:b/>
          <w:bCs/>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iNWJiNzFkZjg0MmJlOWQ1MWUyZWE2ZjFjN2FhNjIifQ=="/>
  </w:docVars>
  <w:rsids>
    <w:rsidRoot w:val="0096036D"/>
    <w:rsid w:val="003526D8"/>
    <w:rsid w:val="00465A46"/>
    <w:rsid w:val="00592EAF"/>
    <w:rsid w:val="00735FF3"/>
    <w:rsid w:val="00783A09"/>
    <w:rsid w:val="008D7BCE"/>
    <w:rsid w:val="0096036D"/>
    <w:rsid w:val="00A12939"/>
    <w:rsid w:val="00A26E1B"/>
    <w:rsid w:val="00B11625"/>
    <w:rsid w:val="00B66EB2"/>
    <w:rsid w:val="00C27507"/>
    <w:rsid w:val="00C85A64"/>
    <w:rsid w:val="00CE3324"/>
    <w:rsid w:val="0169050D"/>
    <w:rsid w:val="04036B47"/>
    <w:rsid w:val="08CA5B03"/>
    <w:rsid w:val="10B47866"/>
    <w:rsid w:val="13F53DFE"/>
    <w:rsid w:val="166D3972"/>
    <w:rsid w:val="19133E58"/>
    <w:rsid w:val="28073595"/>
    <w:rsid w:val="29487A62"/>
    <w:rsid w:val="37804DB4"/>
    <w:rsid w:val="3C7428E0"/>
    <w:rsid w:val="443D3018"/>
    <w:rsid w:val="571B28B4"/>
    <w:rsid w:val="641153B8"/>
    <w:rsid w:val="6C4C31EB"/>
    <w:rsid w:val="76061C6A"/>
    <w:rsid w:val="7797070D"/>
    <w:rsid w:val="7AC3756D"/>
    <w:rsid w:val="7CD5660B"/>
    <w:rsid w:val="7ECE2C7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link w:val="2"/>
    <w:semiHidden/>
    <w:uiPriority w:val="99"/>
    <w:rPr>
      <w:sz w:val="18"/>
      <w:szCs w:val="18"/>
    </w:rPr>
  </w:style>
  <w:style w:type="character" w:customStyle="1" w:styleId="7">
    <w:name w:val="页眉 字符"/>
    <w:link w:val="3"/>
    <w:semiHidden/>
    <w:uiPriority w:val="99"/>
    <w:rPr>
      <w:sz w:val="18"/>
      <w:szCs w:val="18"/>
    </w:rPr>
  </w:style>
  <w:style w:type="paragraph" w:styleId="8">
    <w:name w:val=""/>
    <w:hidden/>
    <w:unhideWhenUsed/>
    <w:uiPriority w:val="99"/>
    <w:rPr>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dy</Company>
  <Pages>4</Pages>
  <Words>2462</Words>
  <Characters>2515</Characters>
  <Lines>18</Lines>
  <Paragraphs>5</Paragraphs>
  <TotalTime>0</TotalTime>
  <ScaleCrop>false</ScaleCrop>
  <LinksUpToDate>false</LinksUpToDate>
  <CharactersWithSpaces>2515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2015-07-09T02:53:00Z</dcterms:created>
  <dc:creator>dy</dc:creator>
  <cp:lastModifiedBy>cdq</cp:lastModifiedBy>
  <cp:lastPrinted>2023-02-04T03:39:00Z</cp:lastPrinted>
  <dcterms:modified xsi:type="dcterms:W3CDTF">2025-04-02T08:36:28Z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2991C4955BAF4FD79B6B4E38FC682C5C_13</vt:lpwstr>
  </property>
</Properties>
</file>